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C" w:rsidRDefault="001B3597" w:rsidP="00CC3C2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C3C20" w:rsidRPr="00CC3C20">
        <w:rPr>
          <w:rFonts w:ascii="Times New Roman" w:hAnsi="Times New Roman" w:cs="Times New Roman"/>
          <w:b/>
          <w:bCs/>
          <w:sz w:val="28"/>
          <w:szCs w:val="28"/>
        </w:rPr>
        <w:t xml:space="preserve">Etude épidémiologique de la </w:t>
      </w:r>
      <w:proofErr w:type="spellStart"/>
      <w:r w:rsidR="00CC3C20" w:rsidRPr="00CC3C20">
        <w:rPr>
          <w:rFonts w:ascii="Times New Roman" w:hAnsi="Times New Roman" w:cs="Times New Roman"/>
          <w:b/>
          <w:bCs/>
          <w:sz w:val="28"/>
          <w:szCs w:val="28"/>
        </w:rPr>
        <w:t>theileriose</w:t>
      </w:r>
      <w:proofErr w:type="spellEnd"/>
      <w:r w:rsidR="00CC3C20" w:rsidRPr="00CC3C20">
        <w:rPr>
          <w:rFonts w:ascii="Times New Roman" w:hAnsi="Times New Roman" w:cs="Times New Roman"/>
          <w:b/>
          <w:bCs/>
          <w:sz w:val="28"/>
          <w:szCs w:val="28"/>
        </w:rPr>
        <w:t xml:space="preserve"> dans quelques exploitations bovines de la région de </w:t>
      </w:r>
      <w:proofErr w:type="spellStart"/>
      <w:r w:rsidR="00CC3C20" w:rsidRPr="00CC3C20">
        <w:rPr>
          <w:rFonts w:ascii="Times New Roman" w:hAnsi="Times New Roman" w:cs="Times New Roman"/>
          <w:b/>
          <w:bCs/>
          <w:sz w:val="28"/>
          <w:szCs w:val="28"/>
        </w:rPr>
        <w:t>Tizi</w:t>
      </w:r>
      <w:proofErr w:type="spellEnd"/>
      <w:r w:rsidR="00CC3C20" w:rsidRPr="00CC3C20">
        <w:rPr>
          <w:rFonts w:ascii="Times New Roman" w:hAnsi="Times New Roman" w:cs="Times New Roman"/>
          <w:b/>
          <w:bCs/>
          <w:sz w:val="28"/>
          <w:szCs w:val="28"/>
        </w:rPr>
        <w:t xml:space="preserve"> </w:t>
      </w:r>
      <w:proofErr w:type="spellStart"/>
      <w:r w:rsidR="00CC3C20" w:rsidRPr="00CC3C20">
        <w:rPr>
          <w:rFonts w:ascii="Times New Roman" w:hAnsi="Times New Roman" w:cs="Times New Roman"/>
          <w:b/>
          <w:bCs/>
          <w:sz w:val="28"/>
          <w:szCs w:val="28"/>
        </w:rPr>
        <w:t>Ouzou</w:t>
      </w:r>
      <w:proofErr w:type="spellEnd"/>
    </w:p>
    <w:p w:rsidR="000D364B" w:rsidRDefault="000D364B" w:rsidP="000D364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CC3C20" w:rsidRPr="00CC3C20" w:rsidRDefault="00CC3C20" w:rsidP="00CC3C20">
      <w:pPr>
        <w:jc w:val="both"/>
        <w:rPr>
          <w:rFonts w:asciiTheme="majorBidi" w:hAnsiTheme="majorBidi" w:cstheme="majorBidi"/>
          <w:sz w:val="24"/>
          <w:szCs w:val="24"/>
        </w:rPr>
      </w:pPr>
      <w:r w:rsidRPr="00CC3C20">
        <w:rPr>
          <w:rFonts w:asciiTheme="majorBidi" w:hAnsiTheme="majorBidi" w:cstheme="majorBidi"/>
          <w:sz w:val="24"/>
          <w:szCs w:val="24"/>
        </w:rPr>
        <w:t xml:space="preserve">L’objectif de ce travail est de réaliser une étude épidémiologique sur l’infection par </w:t>
      </w:r>
      <w:proofErr w:type="spellStart"/>
      <w:r w:rsidRPr="00CC3C20">
        <w:rPr>
          <w:rFonts w:asciiTheme="majorBidi" w:hAnsiTheme="majorBidi" w:cstheme="majorBidi"/>
          <w:sz w:val="24"/>
          <w:szCs w:val="24"/>
        </w:rPr>
        <w:t>Theileria</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annulata</w:t>
      </w:r>
      <w:proofErr w:type="spellEnd"/>
      <w:r w:rsidRPr="00CC3C20">
        <w:rPr>
          <w:rFonts w:asciiTheme="majorBidi" w:hAnsiTheme="majorBidi" w:cstheme="majorBidi"/>
          <w:sz w:val="24"/>
          <w:szCs w:val="24"/>
        </w:rPr>
        <w:t xml:space="preserve"> dans quelques régions de </w:t>
      </w:r>
      <w:proofErr w:type="spellStart"/>
      <w:r w:rsidRPr="00CC3C20">
        <w:rPr>
          <w:rFonts w:asciiTheme="majorBidi" w:hAnsiTheme="majorBidi" w:cstheme="majorBidi"/>
          <w:sz w:val="24"/>
          <w:szCs w:val="24"/>
        </w:rPr>
        <w:t>Tizi</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Ouzou</w:t>
      </w:r>
      <w:proofErr w:type="spellEnd"/>
      <w:r w:rsidRPr="00CC3C20">
        <w:rPr>
          <w:rFonts w:asciiTheme="majorBidi" w:hAnsiTheme="majorBidi" w:cstheme="majorBidi"/>
          <w:sz w:val="24"/>
          <w:szCs w:val="24"/>
        </w:rPr>
        <w:t xml:space="preserve">, par l’utilisation de la technique du frottis sanguin. Pour cela, 112 prélèvements sanguins ont été effectués et destinés aux analyses </w:t>
      </w:r>
      <w:proofErr w:type="spellStart"/>
      <w:r w:rsidRPr="00CC3C20">
        <w:rPr>
          <w:rFonts w:asciiTheme="majorBidi" w:hAnsiTheme="majorBidi" w:cstheme="majorBidi"/>
          <w:sz w:val="24"/>
          <w:szCs w:val="24"/>
        </w:rPr>
        <w:t>parasitologiques</w:t>
      </w:r>
      <w:proofErr w:type="spellEnd"/>
      <w:r w:rsidRPr="00CC3C20">
        <w:rPr>
          <w:rFonts w:asciiTheme="majorBidi" w:hAnsiTheme="majorBidi" w:cstheme="majorBidi"/>
          <w:sz w:val="24"/>
          <w:szCs w:val="24"/>
        </w:rPr>
        <w:t xml:space="preserve"> au laboratoire de l’ENSV. Les tiques présentes sur les bovins prélevés ont été récoltées et identifiées à l’aide de l’utilisation d’une clé taxonomique. L’examen </w:t>
      </w:r>
      <w:proofErr w:type="spellStart"/>
      <w:r w:rsidRPr="00CC3C20">
        <w:rPr>
          <w:rFonts w:asciiTheme="majorBidi" w:hAnsiTheme="majorBidi" w:cstheme="majorBidi"/>
          <w:sz w:val="24"/>
          <w:szCs w:val="24"/>
        </w:rPr>
        <w:t>parasitologique</w:t>
      </w:r>
      <w:proofErr w:type="spellEnd"/>
      <w:r w:rsidRPr="00CC3C20">
        <w:rPr>
          <w:rFonts w:asciiTheme="majorBidi" w:hAnsiTheme="majorBidi" w:cstheme="majorBidi"/>
          <w:sz w:val="24"/>
          <w:szCs w:val="24"/>
        </w:rPr>
        <w:t xml:space="preserve"> a permis de mettre en évidence T. </w:t>
      </w:r>
      <w:proofErr w:type="spellStart"/>
      <w:r w:rsidRPr="00CC3C20">
        <w:rPr>
          <w:rFonts w:asciiTheme="majorBidi" w:hAnsiTheme="majorBidi" w:cstheme="majorBidi"/>
          <w:sz w:val="24"/>
          <w:szCs w:val="24"/>
        </w:rPr>
        <w:t>annulata</w:t>
      </w:r>
      <w:proofErr w:type="spellEnd"/>
      <w:r w:rsidRPr="00CC3C20">
        <w:rPr>
          <w:rFonts w:asciiTheme="majorBidi" w:hAnsiTheme="majorBidi" w:cstheme="majorBidi"/>
          <w:sz w:val="24"/>
          <w:szCs w:val="24"/>
        </w:rPr>
        <w:t xml:space="preserve"> (12,5%), </w:t>
      </w:r>
      <w:proofErr w:type="spellStart"/>
      <w:r w:rsidRPr="00CC3C20">
        <w:rPr>
          <w:rFonts w:asciiTheme="majorBidi" w:hAnsiTheme="majorBidi" w:cstheme="majorBidi"/>
          <w:sz w:val="24"/>
          <w:szCs w:val="24"/>
        </w:rPr>
        <w:t>B.divergens</w:t>
      </w:r>
      <w:proofErr w:type="spellEnd"/>
      <w:r w:rsidRPr="00CC3C20">
        <w:rPr>
          <w:rFonts w:asciiTheme="majorBidi" w:hAnsiTheme="majorBidi" w:cstheme="majorBidi"/>
          <w:sz w:val="24"/>
          <w:szCs w:val="24"/>
        </w:rPr>
        <w:t xml:space="preserve"> (3,57%) et </w:t>
      </w:r>
      <w:proofErr w:type="spellStart"/>
      <w:r w:rsidRPr="00CC3C20">
        <w:rPr>
          <w:rFonts w:asciiTheme="majorBidi" w:hAnsiTheme="majorBidi" w:cstheme="majorBidi"/>
          <w:sz w:val="24"/>
          <w:szCs w:val="24"/>
        </w:rPr>
        <w:t>B.bigemina</w:t>
      </w:r>
      <w:proofErr w:type="spellEnd"/>
      <w:r w:rsidRPr="00CC3C20">
        <w:rPr>
          <w:rFonts w:asciiTheme="majorBidi" w:hAnsiTheme="majorBidi" w:cstheme="majorBidi"/>
          <w:sz w:val="24"/>
          <w:szCs w:val="24"/>
        </w:rPr>
        <w:t xml:space="preserve"> (2,67%). Aussi, des </w:t>
      </w:r>
      <w:proofErr w:type="gramStart"/>
      <w:r w:rsidRPr="00CC3C20">
        <w:rPr>
          <w:rFonts w:asciiTheme="majorBidi" w:hAnsiTheme="majorBidi" w:cstheme="majorBidi"/>
          <w:sz w:val="24"/>
          <w:szCs w:val="24"/>
        </w:rPr>
        <w:t>coïnfection</w:t>
      </w:r>
      <w:proofErr w:type="gram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T.annulata</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B.divergens</w:t>
      </w:r>
      <w:proofErr w:type="spellEnd"/>
      <w:r w:rsidRPr="00CC3C20">
        <w:rPr>
          <w:rFonts w:asciiTheme="majorBidi" w:hAnsiTheme="majorBidi" w:cstheme="majorBidi"/>
          <w:sz w:val="24"/>
          <w:szCs w:val="24"/>
        </w:rPr>
        <w:t xml:space="preserve"> (2.67%) et </w:t>
      </w:r>
      <w:proofErr w:type="spellStart"/>
      <w:r w:rsidRPr="00CC3C20">
        <w:rPr>
          <w:rFonts w:asciiTheme="majorBidi" w:hAnsiTheme="majorBidi" w:cstheme="majorBidi"/>
          <w:sz w:val="24"/>
          <w:szCs w:val="24"/>
        </w:rPr>
        <w:t>T.annulata</w:t>
      </w:r>
      <w:proofErr w:type="spellEnd"/>
      <w:r w:rsidRPr="00CC3C20">
        <w:rPr>
          <w:rFonts w:asciiTheme="majorBidi" w:hAnsiTheme="majorBidi" w:cstheme="majorBidi"/>
          <w:sz w:val="24"/>
          <w:szCs w:val="24"/>
        </w:rPr>
        <w:t>/</w:t>
      </w:r>
      <w:proofErr w:type="spellStart"/>
      <w:r w:rsidRPr="00CC3C20">
        <w:rPr>
          <w:rFonts w:asciiTheme="majorBidi" w:hAnsiTheme="majorBidi" w:cstheme="majorBidi"/>
          <w:sz w:val="24"/>
          <w:szCs w:val="24"/>
        </w:rPr>
        <w:t>B.bigemina</w:t>
      </w:r>
      <w:proofErr w:type="spellEnd"/>
      <w:r w:rsidRPr="00CC3C20">
        <w:rPr>
          <w:rFonts w:asciiTheme="majorBidi" w:hAnsiTheme="majorBidi" w:cstheme="majorBidi"/>
          <w:sz w:val="24"/>
          <w:szCs w:val="24"/>
        </w:rPr>
        <w:t xml:space="preserve"> (0,89%). L’analyse des facteurs de risque susceptibles d’influencer la prévalence de T. </w:t>
      </w:r>
      <w:proofErr w:type="spellStart"/>
      <w:r w:rsidRPr="00CC3C20">
        <w:rPr>
          <w:rFonts w:asciiTheme="majorBidi" w:hAnsiTheme="majorBidi" w:cstheme="majorBidi"/>
          <w:sz w:val="24"/>
          <w:szCs w:val="24"/>
        </w:rPr>
        <w:t>annulata</w:t>
      </w:r>
      <w:proofErr w:type="spellEnd"/>
      <w:r w:rsidRPr="00CC3C20">
        <w:rPr>
          <w:rFonts w:asciiTheme="majorBidi" w:hAnsiTheme="majorBidi" w:cstheme="majorBidi"/>
          <w:sz w:val="24"/>
          <w:szCs w:val="24"/>
        </w:rPr>
        <w:t xml:space="preserve"> a montré l’influence de l’âge, de la race, et de la saison. L’identification des tiques a révélé la présence de 4 genres de tique </w:t>
      </w:r>
      <w:proofErr w:type="spellStart"/>
      <w:r w:rsidRPr="00CC3C20">
        <w:rPr>
          <w:rFonts w:asciiTheme="majorBidi" w:hAnsiTheme="majorBidi" w:cstheme="majorBidi"/>
          <w:sz w:val="24"/>
          <w:szCs w:val="24"/>
        </w:rPr>
        <w:t>Ixodidés</w:t>
      </w:r>
      <w:proofErr w:type="spellEnd"/>
      <w:r w:rsidRPr="00CC3C20">
        <w:rPr>
          <w:rFonts w:asciiTheme="majorBidi" w:hAnsiTheme="majorBidi" w:cstheme="majorBidi"/>
          <w:sz w:val="24"/>
          <w:szCs w:val="24"/>
        </w:rPr>
        <w:t xml:space="preserve"> avec la prédominance du genre </w:t>
      </w:r>
      <w:proofErr w:type="spellStart"/>
      <w:r w:rsidRPr="00CC3C20">
        <w:rPr>
          <w:rFonts w:asciiTheme="majorBidi" w:hAnsiTheme="majorBidi" w:cstheme="majorBidi"/>
          <w:sz w:val="24"/>
          <w:szCs w:val="24"/>
        </w:rPr>
        <w:t>Rhipiciphalus</w:t>
      </w:r>
      <w:proofErr w:type="spellEnd"/>
      <w:r w:rsidRPr="00CC3C20">
        <w:rPr>
          <w:rFonts w:asciiTheme="majorBidi" w:hAnsiTheme="majorBidi" w:cstheme="majorBidi"/>
          <w:sz w:val="24"/>
          <w:szCs w:val="24"/>
        </w:rPr>
        <w:t xml:space="preserve"> (52,1%</w:t>
      </w:r>
      <w:proofErr w:type="gramStart"/>
      <w:r w:rsidRPr="00CC3C20">
        <w:rPr>
          <w:rFonts w:asciiTheme="majorBidi" w:hAnsiTheme="majorBidi" w:cstheme="majorBidi"/>
          <w:sz w:val="24"/>
          <w:szCs w:val="24"/>
        </w:rPr>
        <w:t>) ,</w:t>
      </w:r>
      <w:proofErr w:type="gramEnd"/>
      <w:r w:rsidRPr="00CC3C20">
        <w:rPr>
          <w:rFonts w:asciiTheme="majorBidi" w:hAnsiTheme="majorBidi" w:cstheme="majorBidi"/>
          <w:sz w:val="24"/>
          <w:szCs w:val="24"/>
        </w:rPr>
        <w:t xml:space="preserve"> Les espèces reconnues vecteurs de </w:t>
      </w:r>
      <w:proofErr w:type="spellStart"/>
      <w:r w:rsidRPr="00CC3C20">
        <w:rPr>
          <w:rFonts w:asciiTheme="majorBidi" w:hAnsiTheme="majorBidi" w:cstheme="majorBidi"/>
          <w:sz w:val="24"/>
          <w:szCs w:val="24"/>
        </w:rPr>
        <w:t>Theileria</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hyalomma</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spp</w:t>
      </w:r>
      <w:proofErr w:type="spellEnd"/>
      <w:r w:rsidRPr="00CC3C20">
        <w:rPr>
          <w:rFonts w:asciiTheme="majorBidi" w:hAnsiTheme="majorBidi" w:cstheme="majorBidi"/>
          <w:sz w:val="24"/>
          <w:szCs w:val="24"/>
        </w:rPr>
        <w:t xml:space="preserve">) ont été fréquentes (39,3%). Par ailleurs, les genres Ixodes et </w:t>
      </w:r>
      <w:proofErr w:type="spellStart"/>
      <w:r w:rsidRPr="00CC3C20">
        <w:rPr>
          <w:rFonts w:asciiTheme="majorBidi" w:hAnsiTheme="majorBidi" w:cstheme="majorBidi"/>
          <w:sz w:val="24"/>
          <w:szCs w:val="24"/>
        </w:rPr>
        <w:t>Dermacentor</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spp</w:t>
      </w:r>
      <w:proofErr w:type="spellEnd"/>
      <w:r w:rsidRPr="00CC3C20">
        <w:rPr>
          <w:rFonts w:asciiTheme="majorBidi" w:hAnsiTheme="majorBidi" w:cstheme="majorBidi"/>
          <w:sz w:val="24"/>
          <w:szCs w:val="24"/>
        </w:rPr>
        <w:t xml:space="preserve"> très rarement rencontrés en Algérie ont été identifiés avec des prévalences de (7,9 %) et (0,85%) respectivement. Pour la première fois dans la région, </w:t>
      </w:r>
      <w:proofErr w:type="spellStart"/>
      <w:r w:rsidRPr="00CC3C20">
        <w:rPr>
          <w:rFonts w:asciiTheme="majorBidi" w:hAnsiTheme="majorBidi" w:cstheme="majorBidi"/>
          <w:sz w:val="24"/>
          <w:szCs w:val="24"/>
        </w:rPr>
        <w:t>Dermacentor</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spp</w:t>
      </w:r>
      <w:proofErr w:type="spellEnd"/>
      <w:r w:rsidRPr="00CC3C20">
        <w:rPr>
          <w:rFonts w:asciiTheme="majorBidi" w:hAnsiTheme="majorBidi" w:cstheme="majorBidi"/>
          <w:sz w:val="24"/>
          <w:szCs w:val="24"/>
        </w:rPr>
        <w:t xml:space="preserve"> a été identifié Les présentes investigations indiquent que </w:t>
      </w:r>
      <w:proofErr w:type="spellStart"/>
      <w:r w:rsidRPr="00CC3C20">
        <w:rPr>
          <w:rFonts w:asciiTheme="majorBidi" w:hAnsiTheme="majorBidi" w:cstheme="majorBidi"/>
          <w:sz w:val="24"/>
          <w:szCs w:val="24"/>
        </w:rPr>
        <w:t>T.annulata</w:t>
      </w:r>
      <w:proofErr w:type="spellEnd"/>
      <w:r w:rsidRPr="00CC3C20">
        <w:rPr>
          <w:rFonts w:asciiTheme="majorBidi" w:hAnsiTheme="majorBidi" w:cstheme="majorBidi"/>
          <w:sz w:val="24"/>
          <w:szCs w:val="24"/>
        </w:rPr>
        <w:t xml:space="preserve">, </w:t>
      </w:r>
      <w:proofErr w:type="spellStart"/>
      <w:r w:rsidRPr="00CC3C20">
        <w:rPr>
          <w:rFonts w:asciiTheme="majorBidi" w:hAnsiTheme="majorBidi" w:cstheme="majorBidi"/>
          <w:sz w:val="24"/>
          <w:szCs w:val="24"/>
        </w:rPr>
        <w:t>B.divergens</w:t>
      </w:r>
      <w:proofErr w:type="spellEnd"/>
      <w:r w:rsidRPr="00CC3C20">
        <w:rPr>
          <w:rFonts w:asciiTheme="majorBidi" w:hAnsiTheme="majorBidi" w:cstheme="majorBidi"/>
          <w:sz w:val="24"/>
          <w:szCs w:val="24"/>
        </w:rPr>
        <w:t xml:space="preserve"> et </w:t>
      </w:r>
      <w:proofErr w:type="spellStart"/>
      <w:r w:rsidRPr="00CC3C20">
        <w:rPr>
          <w:rFonts w:asciiTheme="majorBidi" w:hAnsiTheme="majorBidi" w:cstheme="majorBidi"/>
          <w:sz w:val="24"/>
          <w:szCs w:val="24"/>
        </w:rPr>
        <w:t>B.bigemina</w:t>
      </w:r>
      <w:proofErr w:type="spellEnd"/>
      <w:r w:rsidRPr="00CC3C20">
        <w:rPr>
          <w:rFonts w:asciiTheme="majorBidi" w:hAnsiTheme="majorBidi" w:cstheme="majorBidi"/>
          <w:sz w:val="24"/>
          <w:szCs w:val="24"/>
        </w:rPr>
        <w:t xml:space="preserve"> sont largement distribuées dans la région et sévissent probablement sous forme d’enzooties instables.</w:t>
      </w:r>
    </w:p>
    <w:p w:rsidR="00CC3C20" w:rsidRPr="00CC3C20" w:rsidRDefault="00CC3C20" w:rsidP="00CC3C20">
      <w:pPr>
        <w:jc w:val="both"/>
        <w:rPr>
          <w:rFonts w:asciiTheme="majorBidi" w:hAnsiTheme="majorBidi" w:cstheme="majorBidi"/>
          <w:sz w:val="24"/>
          <w:szCs w:val="24"/>
        </w:rPr>
      </w:pPr>
    </w:p>
    <w:p w:rsidR="00CC3C20" w:rsidRPr="00CC3C20" w:rsidRDefault="00CC3C20" w:rsidP="00CC3C20">
      <w:pPr>
        <w:jc w:val="both"/>
        <w:rPr>
          <w:rFonts w:asciiTheme="majorBidi" w:hAnsiTheme="majorBidi" w:cstheme="majorBidi"/>
          <w:b/>
          <w:bCs/>
          <w:sz w:val="24"/>
          <w:szCs w:val="24"/>
          <w:lang w:val="en-US"/>
        </w:rPr>
      </w:pPr>
      <w:proofErr w:type="gramStart"/>
      <w:r w:rsidRPr="00CC3C20">
        <w:rPr>
          <w:rFonts w:asciiTheme="majorBidi" w:hAnsiTheme="majorBidi" w:cstheme="majorBidi"/>
          <w:b/>
          <w:bCs/>
          <w:sz w:val="24"/>
          <w:szCs w:val="24"/>
          <w:lang w:val="en-US"/>
        </w:rPr>
        <w:t>Abstract :</w:t>
      </w:r>
      <w:proofErr w:type="gramEnd"/>
    </w:p>
    <w:p w:rsidR="00014BDB" w:rsidRPr="00CC3C20" w:rsidRDefault="00CC3C20" w:rsidP="00CC3C20">
      <w:pPr>
        <w:jc w:val="both"/>
        <w:rPr>
          <w:rFonts w:asciiTheme="majorBidi" w:hAnsiTheme="majorBidi" w:cstheme="majorBidi"/>
          <w:sz w:val="24"/>
          <w:szCs w:val="24"/>
          <w:lang w:val="en-US"/>
        </w:rPr>
      </w:pPr>
      <w:r w:rsidRPr="00CC3C20">
        <w:rPr>
          <w:rFonts w:asciiTheme="majorBidi" w:hAnsiTheme="majorBidi" w:cstheme="majorBidi"/>
          <w:sz w:val="24"/>
          <w:szCs w:val="24"/>
          <w:lang w:val="en-US"/>
        </w:rPr>
        <w:t xml:space="preserve">The objective of this work is to carry out an epidemiological study of </w:t>
      </w:r>
      <w:proofErr w:type="spellStart"/>
      <w:r w:rsidRPr="00CC3C20">
        <w:rPr>
          <w:rFonts w:asciiTheme="majorBidi" w:hAnsiTheme="majorBidi" w:cstheme="majorBidi"/>
          <w:sz w:val="24"/>
          <w:szCs w:val="24"/>
          <w:lang w:val="en-US"/>
        </w:rPr>
        <w:t>theileria</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annulata</w:t>
      </w:r>
      <w:proofErr w:type="spellEnd"/>
      <w:r w:rsidRPr="00CC3C20">
        <w:rPr>
          <w:rFonts w:asciiTheme="majorBidi" w:hAnsiTheme="majorBidi" w:cstheme="majorBidi"/>
          <w:sz w:val="24"/>
          <w:szCs w:val="24"/>
          <w:lang w:val="en-US"/>
        </w:rPr>
        <w:t xml:space="preserve"> infection in some regions of </w:t>
      </w:r>
      <w:proofErr w:type="spellStart"/>
      <w:r w:rsidRPr="00CC3C20">
        <w:rPr>
          <w:rFonts w:asciiTheme="majorBidi" w:hAnsiTheme="majorBidi" w:cstheme="majorBidi"/>
          <w:sz w:val="24"/>
          <w:szCs w:val="24"/>
          <w:lang w:val="en-US"/>
        </w:rPr>
        <w:t>Tizi</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Ouzou</w:t>
      </w:r>
      <w:proofErr w:type="spellEnd"/>
      <w:r w:rsidRPr="00CC3C20">
        <w:rPr>
          <w:rFonts w:asciiTheme="majorBidi" w:hAnsiTheme="majorBidi" w:cstheme="majorBidi"/>
          <w:sz w:val="24"/>
          <w:szCs w:val="24"/>
          <w:lang w:val="en-US"/>
        </w:rPr>
        <w:t xml:space="preserve">, by using the technique of blood smears. For this, 112 blood samples were taken and sent to the parasitological analysis in the laboratory of ENSV. Ticks present on the sampled cattle were collected and identified with use of a taxonomic key. The parasitological exams helped highlight T. </w:t>
      </w:r>
      <w:proofErr w:type="spellStart"/>
      <w:r w:rsidRPr="00CC3C20">
        <w:rPr>
          <w:rFonts w:asciiTheme="majorBidi" w:hAnsiTheme="majorBidi" w:cstheme="majorBidi"/>
          <w:sz w:val="24"/>
          <w:szCs w:val="24"/>
          <w:lang w:val="en-US"/>
        </w:rPr>
        <w:t>annulata</w:t>
      </w:r>
      <w:proofErr w:type="spellEnd"/>
      <w:r w:rsidRPr="00CC3C20">
        <w:rPr>
          <w:rFonts w:asciiTheme="majorBidi" w:hAnsiTheme="majorBidi" w:cstheme="majorBidi"/>
          <w:sz w:val="24"/>
          <w:szCs w:val="24"/>
          <w:lang w:val="en-US"/>
        </w:rPr>
        <w:t xml:space="preserve"> (12.5%), </w:t>
      </w:r>
      <w:proofErr w:type="spellStart"/>
      <w:r w:rsidRPr="00CC3C20">
        <w:rPr>
          <w:rFonts w:asciiTheme="majorBidi" w:hAnsiTheme="majorBidi" w:cstheme="majorBidi"/>
          <w:sz w:val="24"/>
          <w:szCs w:val="24"/>
          <w:lang w:val="en-US"/>
        </w:rPr>
        <w:t>B.divergens</w:t>
      </w:r>
      <w:proofErr w:type="spellEnd"/>
      <w:r w:rsidRPr="00CC3C20">
        <w:rPr>
          <w:rFonts w:asciiTheme="majorBidi" w:hAnsiTheme="majorBidi" w:cstheme="majorBidi"/>
          <w:sz w:val="24"/>
          <w:szCs w:val="24"/>
          <w:lang w:val="en-US"/>
        </w:rPr>
        <w:t xml:space="preserve"> (3.57%) and </w:t>
      </w:r>
      <w:proofErr w:type="spellStart"/>
      <w:r w:rsidRPr="00CC3C20">
        <w:rPr>
          <w:rFonts w:asciiTheme="majorBidi" w:hAnsiTheme="majorBidi" w:cstheme="majorBidi"/>
          <w:sz w:val="24"/>
          <w:szCs w:val="24"/>
          <w:lang w:val="en-US"/>
        </w:rPr>
        <w:t>B.bigemina</w:t>
      </w:r>
      <w:proofErr w:type="spellEnd"/>
      <w:r w:rsidRPr="00CC3C20">
        <w:rPr>
          <w:rFonts w:asciiTheme="majorBidi" w:hAnsiTheme="majorBidi" w:cstheme="majorBidi"/>
          <w:sz w:val="24"/>
          <w:szCs w:val="24"/>
          <w:lang w:val="en-US"/>
        </w:rPr>
        <w:t xml:space="preserve"> (2.67%). </w:t>
      </w:r>
      <w:proofErr w:type="gramStart"/>
      <w:r w:rsidRPr="00CC3C20">
        <w:rPr>
          <w:rFonts w:asciiTheme="majorBidi" w:hAnsiTheme="majorBidi" w:cstheme="majorBidi"/>
          <w:sz w:val="24"/>
          <w:szCs w:val="24"/>
          <w:lang w:val="en-US"/>
        </w:rPr>
        <w:t xml:space="preserve">Also, co-infection </w:t>
      </w:r>
      <w:proofErr w:type="spellStart"/>
      <w:r w:rsidRPr="00CC3C20">
        <w:rPr>
          <w:rFonts w:asciiTheme="majorBidi" w:hAnsiTheme="majorBidi" w:cstheme="majorBidi"/>
          <w:sz w:val="24"/>
          <w:szCs w:val="24"/>
          <w:lang w:val="en-US"/>
        </w:rPr>
        <w:t>T.annulata</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B.divergens</w:t>
      </w:r>
      <w:proofErr w:type="spellEnd"/>
      <w:r w:rsidRPr="00CC3C20">
        <w:rPr>
          <w:rFonts w:asciiTheme="majorBidi" w:hAnsiTheme="majorBidi" w:cstheme="majorBidi"/>
          <w:sz w:val="24"/>
          <w:szCs w:val="24"/>
          <w:lang w:val="en-US"/>
        </w:rPr>
        <w:t xml:space="preserve"> (2.67%) and </w:t>
      </w:r>
      <w:proofErr w:type="spellStart"/>
      <w:r w:rsidRPr="00CC3C20">
        <w:rPr>
          <w:rFonts w:asciiTheme="majorBidi" w:hAnsiTheme="majorBidi" w:cstheme="majorBidi"/>
          <w:sz w:val="24"/>
          <w:szCs w:val="24"/>
          <w:lang w:val="en-US"/>
        </w:rPr>
        <w:t>T.annulata</w:t>
      </w:r>
      <w:proofErr w:type="spellEnd"/>
      <w:r w:rsidRPr="00CC3C20">
        <w:rPr>
          <w:rFonts w:asciiTheme="majorBidi" w:hAnsiTheme="majorBidi" w:cstheme="majorBidi"/>
          <w:sz w:val="24"/>
          <w:szCs w:val="24"/>
          <w:lang w:val="en-US"/>
        </w:rPr>
        <w:t xml:space="preserve"> / </w:t>
      </w:r>
      <w:proofErr w:type="spellStart"/>
      <w:r w:rsidRPr="00CC3C20">
        <w:rPr>
          <w:rFonts w:asciiTheme="majorBidi" w:hAnsiTheme="majorBidi" w:cstheme="majorBidi"/>
          <w:sz w:val="24"/>
          <w:szCs w:val="24"/>
          <w:lang w:val="en-US"/>
        </w:rPr>
        <w:t>B.bigemina</w:t>
      </w:r>
      <w:proofErr w:type="spellEnd"/>
      <w:r w:rsidRPr="00CC3C20">
        <w:rPr>
          <w:rFonts w:asciiTheme="majorBidi" w:hAnsiTheme="majorBidi" w:cstheme="majorBidi"/>
          <w:sz w:val="24"/>
          <w:szCs w:val="24"/>
          <w:lang w:val="en-US"/>
        </w:rPr>
        <w:t xml:space="preserve"> (0.89%).</w:t>
      </w:r>
      <w:proofErr w:type="gramEnd"/>
      <w:r w:rsidRPr="00CC3C20">
        <w:rPr>
          <w:rFonts w:asciiTheme="majorBidi" w:hAnsiTheme="majorBidi" w:cstheme="majorBidi"/>
          <w:sz w:val="24"/>
          <w:szCs w:val="24"/>
          <w:lang w:val="en-US"/>
        </w:rPr>
        <w:t xml:space="preserve"> Analysis of risk factors that may influence the prevalence of T. </w:t>
      </w:r>
      <w:proofErr w:type="spellStart"/>
      <w:r w:rsidRPr="00CC3C20">
        <w:rPr>
          <w:rFonts w:asciiTheme="majorBidi" w:hAnsiTheme="majorBidi" w:cstheme="majorBidi"/>
          <w:sz w:val="24"/>
          <w:szCs w:val="24"/>
          <w:lang w:val="en-US"/>
        </w:rPr>
        <w:t>annulata</w:t>
      </w:r>
      <w:proofErr w:type="spellEnd"/>
      <w:r w:rsidRPr="00CC3C20">
        <w:rPr>
          <w:rFonts w:asciiTheme="majorBidi" w:hAnsiTheme="majorBidi" w:cstheme="majorBidi"/>
          <w:sz w:val="24"/>
          <w:szCs w:val="24"/>
          <w:lang w:val="en-US"/>
        </w:rPr>
        <w:t xml:space="preserve"> showed the influence of age, race, and season. Identification of ticks revealed the presence of four kinds of </w:t>
      </w:r>
      <w:proofErr w:type="spellStart"/>
      <w:r w:rsidRPr="00CC3C20">
        <w:rPr>
          <w:rFonts w:asciiTheme="majorBidi" w:hAnsiTheme="majorBidi" w:cstheme="majorBidi"/>
          <w:sz w:val="24"/>
          <w:szCs w:val="24"/>
          <w:lang w:val="en-US"/>
        </w:rPr>
        <w:t>Ixodidae</w:t>
      </w:r>
      <w:proofErr w:type="spellEnd"/>
      <w:r w:rsidRPr="00CC3C20">
        <w:rPr>
          <w:rFonts w:asciiTheme="majorBidi" w:hAnsiTheme="majorBidi" w:cstheme="majorBidi"/>
          <w:sz w:val="24"/>
          <w:szCs w:val="24"/>
          <w:lang w:val="en-US"/>
        </w:rPr>
        <w:t xml:space="preserve"> tick with the predominance of type </w:t>
      </w:r>
      <w:proofErr w:type="spellStart"/>
      <w:r w:rsidRPr="00CC3C20">
        <w:rPr>
          <w:rFonts w:asciiTheme="majorBidi" w:hAnsiTheme="majorBidi" w:cstheme="majorBidi"/>
          <w:sz w:val="24"/>
          <w:szCs w:val="24"/>
          <w:lang w:val="en-US"/>
        </w:rPr>
        <w:t>Rhipiciphalus</w:t>
      </w:r>
      <w:proofErr w:type="spellEnd"/>
      <w:r w:rsidRPr="00CC3C20">
        <w:rPr>
          <w:rFonts w:asciiTheme="majorBidi" w:hAnsiTheme="majorBidi" w:cstheme="majorBidi"/>
          <w:sz w:val="24"/>
          <w:szCs w:val="24"/>
          <w:lang w:val="en-US"/>
        </w:rPr>
        <w:t xml:space="preserve"> (52.1%), </w:t>
      </w:r>
      <w:proofErr w:type="spellStart"/>
      <w:r w:rsidRPr="00CC3C20">
        <w:rPr>
          <w:rFonts w:asciiTheme="majorBidi" w:hAnsiTheme="majorBidi" w:cstheme="majorBidi"/>
          <w:sz w:val="24"/>
          <w:szCs w:val="24"/>
          <w:lang w:val="en-US"/>
        </w:rPr>
        <w:t>Theileria</w:t>
      </w:r>
      <w:proofErr w:type="spellEnd"/>
      <w:r w:rsidRPr="00CC3C20">
        <w:rPr>
          <w:rFonts w:asciiTheme="majorBidi" w:hAnsiTheme="majorBidi" w:cstheme="majorBidi"/>
          <w:sz w:val="24"/>
          <w:szCs w:val="24"/>
          <w:lang w:val="en-US"/>
        </w:rPr>
        <w:t xml:space="preserve"> species known vectors (</w:t>
      </w:r>
      <w:proofErr w:type="spellStart"/>
      <w:r w:rsidRPr="00CC3C20">
        <w:rPr>
          <w:rFonts w:asciiTheme="majorBidi" w:hAnsiTheme="majorBidi" w:cstheme="majorBidi"/>
          <w:sz w:val="24"/>
          <w:szCs w:val="24"/>
          <w:lang w:val="en-US"/>
        </w:rPr>
        <w:t>Hyalomma</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spp</w:t>
      </w:r>
      <w:proofErr w:type="spellEnd"/>
      <w:r w:rsidRPr="00CC3C20">
        <w:rPr>
          <w:rFonts w:asciiTheme="majorBidi" w:hAnsiTheme="majorBidi" w:cstheme="majorBidi"/>
          <w:sz w:val="24"/>
          <w:szCs w:val="24"/>
          <w:lang w:val="en-US"/>
        </w:rPr>
        <w:t xml:space="preserve">) were frequent (39.3%). Moreover, </w:t>
      </w:r>
      <w:proofErr w:type="spellStart"/>
      <w:r w:rsidRPr="00CC3C20">
        <w:rPr>
          <w:rFonts w:asciiTheme="majorBidi" w:hAnsiTheme="majorBidi" w:cstheme="majorBidi"/>
          <w:sz w:val="24"/>
          <w:szCs w:val="24"/>
          <w:lang w:val="en-US"/>
        </w:rPr>
        <w:t>Ixodes</w:t>
      </w:r>
      <w:proofErr w:type="spellEnd"/>
      <w:r w:rsidRPr="00CC3C20">
        <w:rPr>
          <w:rFonts w:asciiTheme="majorBidi" w:hAnsiTheme="majorBidi" w:cstheme="majorBidi"/>
          <w:sz w:val="24"/>
          <w:szCs w:val="24"/>
          <w:lang w:val="en-US"/>
        </w:rPr>
        <w:t xml:space="preserve"> and </w:t>
      </w:r>
      <w:proofErr w:type="spellStart"/>
      <w:r w:rsidRPr="00CC3C20">
        <w:rPr>
          <w:rFonts w:asciiTheme="majorBidi" w:hAnsiTheme="majorBidi" w:cstheme="majorBidi"/>
          <w:sz w:val="24"/>
          <w:szCs w:val="24"/>
          <w:lang w:val="en-US"/>
        </w:rPr>
        <w:t>Dermacentor</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spp</w:t>
      </w:r>
      <w:proofErr w:type="spellEnd"/>
      <w:r w:rsidRPr="00CC3C20">
        <w:rPr>
          <w:rFonts w:asciiTheme="majorBidi" w:hAnsiTheme="majorBidi" w:cstheme="majorBidi"/>
          <w:sz w:val="24"/>
          <w:szCs w:val="24"/>
          <w:lang w:val="en-US"/>
        </w:rPr>
        <w:t xml:space="preserve"> genres infrequent in Algeria have been identified with prevalence (7.9%) and (0.85%) respectively. For the first time in the region, </w:t>
      </w:r>
      <w:proofErr w:type="spellStart"/>
      <w:r w:rsidRPr="00CC3C20">
        <w:rPr>
          <w:rFonts w:asciiTheme="majorBidi" w:hAnsiTheme="majorBidi" w:cstheme="majorBidi"/>
          <w:sz w:val="24"/>
          <w:szCs w:val="24"/>
          <w:lang w:val="en-US"/>
        </w:rPr>
        <w:t>Dermacentor</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spp</w:t>
      </w:r>
      <w:proofErr w:type="spellEnd"/>
      <w:r w:rsidRPr="00CC3C20">
        <w:rPr>
          <w:rFonts w:asciiTheme="majorBidi" w:hAnsiTheme="majorBidi" w:cstheme="majorBidi"/>
          <w:sz w:val="24"/>
          <w:szCs w:val="24"/>
          <w:lang w:val="en-US"/>
        </w:rPr>
        <w:t xml:space="preserve"> was identified </w:t>
      </w:r>
      <w:proofErr w:type="gramStart"/>
      <w:r w:rsidRPr="00CC3C20">
        <w:rPr>
          <w:rFonts w:asciiTheme="majorBidi" w:hAnsiTheme="majorBidi" w:cstheme="majorBidi"/>
          <w:sz w:val="24"/>
          <w:szCs w:val="24"/>
          <w:lang w:val="en-US"/>
        </w:rPr>
        <w:t>These</w:t>
      </w:r>
      <w:proofErr w:type="gramEnd"/>
      <w:r w:rsidRPr="00CC3C20">
        <w:rPr>
          <w:rFonts w:asciiTheme="majorBidi" w:hAnsiTheme="majorBidi" w:cstheme="majorBidi"/>
          <w:sz w:val="24"/>
          <w:szCs w:val="24"/>
          <w:lang w:val="en-US"/>
        </w:rPr>
        <w:t xml:space="preserve"> investigations indicate that </w:t>
      </w:r>
      <w:proofErr w:type="spellStart"/>
      <w:r w:rsidRPr="00CC3C20">
        <w:rPr>
          <w:rFonts w:asciiTheme="majorBidi" w:hAnsiTheme="majorBidi" w:cstheme="majorBidi"/>
          <w:sz w:val="24"/>
          <w:szCs w:val="24"/>
          <w:lang w:val="en-US"/>
        </w:rPr>
        <w:t>T.annulata</w:t>
      </w:r>
      <w:proofErr w:type="spellEnd"/>
      <w:r w:rsidRPr="00CC3C20">
        <w:rPr>
          <w:rFonts w:asciiTheme="majorBidi" w:hAnsiTheme="majorBidi" w:cstheme="majorBidi"/>
          <w:sz w:val="24"/>
          <w:szCs w:val="24"/>
          <w:lang w:val="en-US"/>
        </w:rPr>
        <w:t xml:space="preserve">, </w:t>
      </w:r>
      <w:proofErr w:type="spellStart"/>
      <w:r w:rsidRPr="00CC3C20">
        <w:rPr>
          <w:rFonts w:asciiTheme="majorBidi" w:hAnsiTheme="majorBidi" w:cstheme="majorBidi"/>
          <w:sz w:val="24"/>
          <w:szCs w:val="24"/>
          <w:lang w:val="en-US"/>
        </w:rPr>
        <w:t>B.divergens</w:t>
      </w:r>
      <w:proofErr w:type="spellEnd"/>
      <w:r w:rsidRPr="00CC3C20">
        <w:rPr>
          <w:rFonts w:asciiTheme="majorBidi" w:hAnsiTheme="majorBidi" w:cstheme="majorBidi"/>
          <w:sz w:val="24"/>
          <w:szCs w:val="24"/>
          <w:lang w:val="en-US"/>
        </w:rPr>
        <w:t xml:space="preserve"> and </w:t>
      </w:r>
      <w:proofErr w:type="spellStart"/>
      <w:r w:rsidRPr="00CC3C20">
        <w:rPr>
          <w:rFonts w:asciiTheme="majorBidi" w:hAnsiTheme="majorBidi" w:cstheme="majorBidi"/>
          <w:sz w:val="24"/>
          <w:szCs w:val="24"/>
          <w:lang w:val="en-US"/>
        </w:rPr>
        <w:t>B.bigemina</w:t>
      </w:r>
      <w:proofErr w:type="spellEnd"/>
      <w:r w:rsidRPr="00CC3C20">
        <w:rPr>
          <w:rFonts w:asciiTheme="majorBidi" w:hAnsiTheme="majorBidi" w:cstheme="majorBidi"/>
          <w:sz w:val="24"/>
          <w:szCs w:val="24"/>
          <w:lang w:val="en-US"/>
        </w:rPr>
        <w:t xml:space="preserve"> are widely distributed in the region and probably rampant as unstable enzootic.</w:t>
      </w:r>
    </w:p>
    <w:sectPr w:rsidR="00014BDB" w:rsidRPr="00CC3C2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401</cp:revision>
  <dcterms:created xsi:type="dcterms:W3CDTF">2019-12-10T12:38:00Z</dcterms:created>
  <dcterms:modified xsi:type="dcterms:W3CDTF">2020-01-21T12:20:00Z</dcterms:modified>
</cp:coreProperties>
</file>