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E9" w:rsidRDefault="00725AE9" w:rsidP="00725AE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725AE9">
        <w:rPr>
          <w:rFonts w:asciiTheme="majorBidi" w:hAnsiTheme="majorBidi" w:cstheme="majorBidi"/>
          <w:b/>
          <w:bCs/>
          <w:color w:val="000000"/>
          <w:sz w:val="28"/>
          <w:szCs w:val="28"/>
          <w:shd w:val="clear" w:color="auto" w:fill="FFFFFF"/>
        </w:rPr>
        <w:t>Salaouati</w:t>
      </w:r>
      <w:proofErr w:type="spellEnd"/>
      <w:r w:rsidRPr="00725AE9">
        <w:rPr>
          <w:rFonts w:asciiTheme="majorBidi" w:hAnsiTheme="majorBidi" w:cstheme="majorBidi"/>
          <w:b/>
          <w:bCs/>
          <w:color w:val="000000"/>
          <w:sz w:val="28"/>
          <w:szCs w:val="28"/>
          <w:shd w:val="clear" w:color="auto" w:fill="FFFFFF"/>
        </w:rPr>
        <w:t xml:space="preserve"> </w:t>
      </w:r>
      <w:proofErr w:type="spellStart"/>
      <w:r w:rsidRPr="00725AE9">
        <w:rPr>
          <w:rFonts w:asciiTheme="majorBidi" w:hAnsiTheme="majorBidi" w:cstheme="majorBidi"/>
          <w:b/>
          <w:bCs/>
          <w:color w:val="000000"/>
          <w:sz w:val="28"/>
          <w:szCs w:val="28"/>
          <w:shd w:val="clear" w:color="auto" w:fill="FFFFFF"/>
        </w:rPr>
        <w:t>Sabiha</w:t>
      </w:r>
      <w:proofErr w:type="spellEnd"/>
    </w:p>
    <w:p w:rsidR="00725AE9" w:rsidRDefault="00725AE9" w:rsidP="00725AE9">
      <w:pPr>
        <w:jc w:val="center"/>
        <w:rPr>
          <w:rFonts w:asciiTheme="majorBidi" w:hAnsiTheme="majorBidi" w:cstheme="majorBidi"/>
          <w:b/>
          <w:bCs/>
          <w:color w:val="000000"/>
          <w:sz w:val="28"/>
          <w:szCs w:val="28"/>
          <w:shd w:val="clear" w:color="auto" w:fill="FFFFFF"/>
        </w:rPr>
      </w:pPr>
      <w:r w:rsidRPr="00725AE9">
        <w:rPr>
          <w:rFonts w:asciiTheme="majorBidi" w:hAnsiTheme="majorBidi" w:cstheme="majorBidi"/>
          <w:b/>
          <w:bCs/>
          <w:color w:val="000000"/>
          <w:sz w:val="28"/>
          <w:szCs w:val="28"/>
          <w:shd w:val="clear" w:color="auto" w:fill="FFFFFF"/>
        </w:rPr>
        <w:t>Recherche d'oocystes d'</w:t>
      </w:r>
      <w:proofErr w:type="spellStart"/>
      <w:r w:rsidRPr="00725AE9">
        <w:rPr>
          <w:rFonts w:asciiTheme="majorBidi" w:hAnsiTheme="majorBidi" w:cstheme="majorBidi"/>
          <w:b/>
          <w:bCs/>
          <w:color w:val="000000"/>
          <w:sz w:val="28"/>
          <w:szCs w:val="28"/>
          <w:shd w:val="clear" w:color="auto" w:fill="FFFFFF"/>
        </w:rPr>
        <w:t>eimeria</w:t>
      </w:r>
      <w:proofErr w:type="spellEnd"/>
      <w:r w:rsidRPr="00725AE9">
        <w:rPr>
          <w:rFonts w:asciiTheme="majorBidi" w:hAnsiTheme="majorBidi" w:cstheme="majorBidi"/>
          <w:b/>
          <w:bCs/>
          <w:color w:val="000000"/>
          <w:sz w:val="28"/>
          <w:szCs w:val="28"/>
          <w:shd w:val="clear" w:color="auto" w:fill="FFFFFF"/>
        </w:rPr>
        <w:t xml:space="preserve"> chez les ovins dans quelques élevages de la région de Rouïba et </w:t>
      </w:r>
      <w:proofErr w:type="spellStart"/>
      <w:r w:rsidRPr="00725AE9">
        <w:rPr>
          <w:rFonts w:asciiTheme="majorBidi" w:hAnsiTheme="majorBidi" w:cstheme="majorBidi"/>
          <w:b/>
          <w:bCs/>
          <w:color w:val="000000"/>
          <w:sz w:val="28"/>
          <w:szCs w:val="28"/>
          <w:shd w:val="clear" w:color="auto" w:fill="FFFFFF"/>
        </w:rPr>
        <w:t>Boumerdes</w:t>
      </w:r>
      <w:proofErr w:type="spellEnd"/>
      <w:r w:rsidRPr="00725AE9">
        <w:rPr>
          <w:rFonts w:asciiTheme="majorBidi" w:hAnsiTheme="majorBidi" w:cstheme="majorBidi"/>
          <w:b/>
          <w:bCs/>
          <w:color w:val="000000"/>
          <w:sz w:val="28"/>
          <w:szCs w:val="28"/>
          <w:shd w:val="clear" w:color="auto" w:fill="FFFFFF"/>
        </w:rPr>
        <w:t xml:space="preserve"> </w:t>
      </w:r>
    </w:p>
    <w:p w:rsidR="00725AE9" w:rsidRDefault="00725AE9" w:rsidP="00725AE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725AE9" w:rsidRDefault="00725AE9" w:rsidP="00725AE9">
      <w:pPr>
        <w:rPr>
          <w:rFonts w:asciiTheme="majorBidi" w:hAnsiTheme="majorBidi" w:cstheme="majorBidi"/>
          <w:sz w:val="24"/>
          <w:szCs w:val="24"/>
        </w:rPr>
      </w:pPr>
      <w:r w:rsidRPr="00725AE9">
        <w:rPr>
          <w:rFonts w:asciiTheme="majorBidi" w:hAnsiTheme="majorBidi" w:cstheme="majorBidi"/>
          <w:b/>
          <w:bCs/>
          <w:sz w:val="24"/>
          <w:szCs w:val="24"/>
        </w:rPr>
        <w:t>Résumé</w:t>
      </w:r>
      <w:r w:rsidRPr="00725AE9">
        <w:rPr>
          <w:rFonts w:asciiTheme="majorBidi" w:hAnsiTheme="majorBidi" w:cstheme="majorBidi"/>
          <w:sz w:val="24"/>
          <w:szCs w:val="24"/>
        </w:rPr>
        <w:t> :</w:t>
      </w:r>
    </w:p>
    <w:p w:rsidR="002B6AAD" w:rsidRPr="00725AE9" w:rsidRDefault="00725AE9" w:rsidP="00725AE9">
      <w:pPr>
        <w:rPr>
          <w:rFonts w:asciiTheme="majorBidi" w:hAnsiTheme="majorBidi" w:cstheme="majorBidi"/>
          <w:sz w:val="24"/>
          <w:szCs w:val="24"/>
          <w:lang w:val="en-US"/>
        </w:rPr>
      </w:pPr>
      <w:r w:rsidRPr="00725AE9">
        <w:rPr>
          <w:rFonts w:asciiTheme="majorBidi" w:hAnsiTheme="majorBidi" w:cstheme="majorBidi"/>
          <w:sz w:val="24"/>
          <w:szCs w:val="24"/>
        </w:rPr>
        <w:t xml:space="preserve"> Les coccidies se développent, principalement, dans les cellules épithéliales du tube digestif et sont, après contamination par voie orale, à l'origine de coccidioses intestinales se manifestant par des troubles digestifs, de l'amaigrissement, des retards de croissance, voire des troubles nerveux, provoquant ainsi des pertes économiques majeures. Dans la période allant de juin 2016 à Mai 2017, une étude a été menée, ayant pour objectif d'évaluer la prévalence des principaux trématodes gastro-intestinaux des ovins dans quelques élevages situés dans les environs d'Alger. Au cours de laquelle, 109 prélèvements de fèces d'ovins ont été effectués et analysés au laboratoire de parasitologie de l'ENSV par la technique d'enrichissement par flottaison. A l'issue, les résultats montrent une prévalence globale les coccidies (50,46%) D'autres parasites gastro-intestinaux ont été identifiés ; les nématodes (77,9%), les cestodes (7,33%</w:t>
      </w:r>
      <w:proofErr w:type="gramStart"/>
      <w:r w:rsidRPr="00725AE9">
        <w:rPr>
          <w:rFonts w:asciiTheme="majorBidi" w:hAnsiTheme="majorBidi" w:cstheme="majorBidi"/>
          <w:sz w:val="24"/>
          <w:szCs w:val="24"/>
        </w:rPr>
        <w:t>)et</w:t>
      </w:r>
      <w:proofErr w:type="gramEnd"/>
      <w:r w:rsidRPr="00725AE9">
        <w:rPr>
          <w:rFonts w:asciiTheme="majorBidi" w:hAnsiTheme="majorBidi" w:cstheme="majorBidi"/>
          <w:sz w:val="24"/>
          <w:szCs w:val="24"/>
        </w:rPr>
        <w:t xml:space="preserve"> Les trématodes identifiés sont </w:t>
      </w:r>
      <w:proofErr w:type="spellStart"/>
      <w:r w:rsidRPr="00725AE9">
        <w:rPr>
          <w:rFonts w:asciiTheme="majorBidi" w:hAnsiTheme="majorBidi" w:cstheme="majorBidi"/>
          <w:sz w:val="24"/>
          <w:szCs w:val="24"/>
        </w:rPr>
        <w:t>Fasciola</w:t>
      </w:r>
      <w:proofErr w:type="spellEnd"/>
      <w:r w:rsidRPr="00725AE9">
        <w:rPr>
          <w:rFonts w:asciiTheme="majorBidi" w:hAnsiTheme="majorBidi" w:cstheme="majorBidi"/>
          <w:sz w:val="24"/>
          <w:szCs w:val="24"/>
        </w:rPr>
        <w:t xml:space="preserve">, </w:t>
      </w:r>
      <w:proofErr w:type="spellStart"/>
      <w:r w:rsidRPr="00725AE9">
        <w:rPr>
          <w:rFonts w:asciiTheme="majorBidi" w:hAnsiTheme="majorBidi" w:cstheme="majorBidi"/>
          <w:sz w:val="24"/>
          <w:szCs w:val="24"/>
        </w:rPr>
        <w:t>Paramphistomum</w:t>
      </w:r>
      <w:proofErr w:type="spellEnd"/>
      <w:r w:rsidRPr="00725AE9">
        <w:rPr>
          <w:rFonts w:asciiTheme="majorBidi" w:hAnsiTheme="majorBidi" w:cstheme="majorBidi"/>
          <w:sz w:val="24"/>
          <w:szCs w:val="24"/>
        </w:rPr>
        <w:t xml:space="preserve"> et </w:t>
      </w:r>
      <w:proofErr w:type="spellStart"/>
      <w:r w:rsidRPr="00725AE9">
        <w:rPr>
          <w:rFonts w:asciiTheme="majorBidi" w:hAnsiTheme="majorBidi" w:cstheme="majorBidi"/>
          <w:sz w:val="24"/>
          <w:szCs w:val="24"/>
        </w:rPr>
        <w:t>Dicrocelium</w:t>
      </w:r>
      <w:proofErr w:type="spellEnd"/>
      <w:r w:rsidRPr="00725AE9">
        <w:rPr>
          <w:rFonts w:asciiTheme="majorBidi" w:hAnsiTheme="majorBidi" w:cstheme="majorBidi"/>
          <w:sz w:val="24"/>
          <w:szCs w:val="24"/>
        </w:rPr>
        <w:t xml:space="preserve"> avec des prévalences de (2,75%), (2,75 %) et (0,9%), respectivement. L'étude a révélé des cas de </w:t>
      </w:r>
      <w:proofErr w:type="spellStart"/>
      <w:r w:rsidRPr="00725AE9">
        <w:rPr>
          <w:rFonts w:asciiTheme="majorBidi" w:hAnsiTheme="majorBidi" w:cstheme="majorBidi"/>
          <w:sz w:val="24"/>
          <w:szCs w:val="24"/>
        </w:rPr>
        <w:t>polyparasitisme</w:t>
      </w:r>
      <w:proofErr w:type="spellEnd"/>
      <w:r w:rsidRPr="00725AE9">
        <w:rPr>
          <w:rFonts w:asciiTheme="majorBidi" w:hAnsiTheme="majorBidi" w:cstheme="majorBidi"/>
          <w:sz w:val="24"/>
          <w:szCs w:val="24"/>
        </w:rPr>
        <w:t xml:space="preserve"> pouvant héberger à la fois plusieurs classes de parasites. Par ailleurs, l'âge semble être </w:t>
      </w:r>
      <w:proofErr w:type="spellStart"/>
      <w:r w:rsidRPr="00725AE9">
        <w:rPr>
          <w:rFonts w:asciiTheme="majorBidi" w:hAnsiTheme="majorBidi" w:cstheme="majorBidi"/>
          <w:sz w:val="24"/>
          <w:szCs w:val="24"/>
        </w:rPr>
        <w:t>unfacteur</w:t>
      </w:r>
      <w:proofErr w:type="spellEnd"/>
      <w:r w:rsidRPr="00725AE9">
        <w:rPr>
          <w:rFonts w:asciiTheme="majorBidi" w:hAnsiTheme="majorBidi" w:cstheme="majorBidi"/>
          <w:sz w:val="24"/>
          <w:szCs w:val="24"/>
        </w:rPr>
        <w:t xml:space="preserve"> influençant la prévalence des coccidies. En effet, les jeunes moins d'un an sont les plus vulnérables. En outre, le sexe, le mode d'élevage et la zone sont probablement des facteurs de risque. Cette étude montre qu'en dépit de fort taux d'infestation retrouvé des coccidies, le </w:t>
      </w:r>
      <w:proofErr w:type="spellStart"/>
      <w:r w:rsidRPr="00725AE9">
        <w:rPr>
          <w:rFonts w:asciiTheme="majorBidi" w:hAnsiTheme="majorBidi" w:cstheme="majorBidi"/>
          <w:sz w:val="24"/>
          <w:szCs w:val="24"/>
        </w:rPr>
        <w:t>polyparasitisme</w:t>
      </w:r>
      <w:proofErr w:type="spellEnd"/>
      <w:r w:rsidRPr="00725AE9">
        <w:rPr>
          <w:rFonts w:asciiTheme="majorBidi" w:hAnsiTheme="majorBidi" w:cstheme="majorBidi"/>
          <w:sz w:val="24"/>
          <w:szCs w:val="24"/>
        </w:rPr>
        <w:t xml:space="preserve"> gastro-intestinal est important chez l'espèce ovine.</w:t>
      </w:r>
      <w:r w:rsidRPr="00725AE9">
        <w:rPr>
          <w:rFonts w:asciiTheme="majorBidi" w:hAnsiTheme="majorBidi" w:cstheme="majorBidi"/>
          <w:sz w:val="24"/>
          <w:szCs w:val="24"/>
        </w:rPr>
        <w:br/>
      </w:r>
      <w:r w:rsidRPr="00725AE9">
        <w:rPr>
          <w:rFonts w:asciiTheme="majorBidi" w:hAnsiTheme="majorBidi" w:cstheme="majorBidi"/>
          <w:sz w:val="24"/>
          <w:szCs w:val="24"/>
        </w:rPr>
        <w:br/>
      </w:r>
      <w:r w:rsidRPr="00725AE9">
        <w:rPr>
          <w:rFonts w:asciiTheme="majorBidi" w:hAnsiTheme="majorBidi" w:cstheme="majorBidi"/>
          <w:b/>
          <w:bCs/>
          <w:sz w:val="24"/>
          <w:szCs w:val="24"/>
          <w:lang w:val="en-US"/>
        </w:rPr>
        <w:t>Abstract</w:t>
      </w:r>
      <w:proofErr w:type="gramStart"/>
      <w:r w:rsidRPr="00725AE9">
        <w:rPr>
          <w:rFonts w:asciiTheme="majorBidi" w:hAnsiTheme="majorBidi" w:cstheme="majorBidi"/>
          <w:b/>
          <w:bCs/>
          <w:sz w:val="24"/>
          <w:szCs w:val="24"/>
          <w:lang w:val="en-US"/>
        </w:rPr>
        <w:t>:</w:t>
      </w:r>
      <w:proofErr w:type="gramEnd"/>
      <w:r w:rsidRPr="00725AE9">
        <w:rPr>
          <w:rFonts w:asciiTheme="majorBidi" w:hAnsiTheme="majorBidi" w:cstheme="majorBidi"/>
          <w:b/>
          <w:bCs/>
          <w:sz w:val="24"/>
          <w:szCs w:val="24"/>
          <w:lang w:val="en-US"/>
        </w:rPr>
        <w:br/>
      </w:r>
      <w:proofErr w:type="spellStart"/>
      <w:r w:rsidRPr="00725AE9">
        <w:rPr>
          <w:rFonts w:asciiTheme="majorBidi" w:hAnsiTheme="majorBidi" w:cstheme="majorBidi"/>
          <w:sz w:val="24"/>
          <w:szCs w:val="24"/>
          <w:lang w:val="en-US"/>
        </w:rPr>
        <w:t>Coccidies</w:t>
      </w:r>
      <w:proofErr w:type="spellEnd"/>
      <w:r w:rsidRPr="00725AE9">
        <w:rPr>
          <w:rFonts w:asciiTheme="majorBidi" w:hAnsiTheme="majorBidi" w:cstheme="majorBidi"/>
          <w:sz w:val="24"/>
          <w:szCs w:val="24"/>
          <w:lang w:val="en-US"/>
        </w:rPr>
        <w:t xml:space="preserve"> develops, mainly, in the epithelial cells(units) of the digestive tract and are, after contamination by oral route, at the origin of intestinal </w:t>
      </w:r>
      <w:proofErr w:type="spellStart"/>
      <w:r w:rsidRPr="00725AE9">
        <w:rPr>
          <w:rFonts w:asciiTheme="majorBidi" w:hAnsiTheme="majorBidi" w:cstheme="majorBidi"/>
          <w:sz w:val="24"/>
          <w:szCs w:val="24"/>
          <w:lang w:val="en-US"/>
        </w:rPr>
        <w:t>coccidioses</w:t>
      </w:r>
      <w:proofErr w:type="spellEnd"/>
      <w:r w:rsidRPr="00725AE9">
        <w:rPr>
          <w:rFonts w:asciiTheme="majorBidi" w:hAnsiTheme="majorBidi" w:cstheme="majorBidi"/>
          <w:sz w:val="24"/>
          <w:szCs w:val="24"/>
          <w:lang w:val="en-US"/>
        </w:rPr>
        <w:t xml:space="preserve"> showing itself by digestive disorders(confusions), of the loss of weight, delays of growth, even nerve disorders, so causing(provoking) major economic losses. For the period going from June, 2016 till May, 2017, a study was led, having for objective to estimate prevalence of the main </w:t>
      </w:r>
      <w:proofErr w:type="gramStart"/>
      <w:r w:rsidRPr="00725AE9">
        <w:rPr>
          <w:rFonts w:asciiTheme="majorBidi" w:hAnsiTheme="majorBidi" w:cstheme="majorBidi"/>
          <w:sz w:val="24"/>
          <w:szCs w:val="24"/>
          <w:lang w:val="en-US"/>
        </w:rPr>
        <w:t>things(</w:t>
      </w:r>
      <w:proofErr w:type="gramEnd"/>
      <w:r w:rsidRPr="00725AE9">
        <w:rPr>
          <w:rFonts w:asciiTheme="majorBidi" w:hAnsiTheme="majorBidi" w:cstheme="majorBidi"/>
          <w:sz w:val="24"/>
          <w:szCs w:val="24"/>
          <w:lang w:val="en-US"/>
        </w:rPr>
        <w:t xml:space="preserve">head teachers) </w:t>
      </w:r>
      <w:proofErr w:type="spellStart"/>
      <w:r w:rsidRPr="00725AE9">
        <w:rPr>
          <w:rFonts w:asciiTheme="majorBidi" w:hAnsiTheme="majorBidi" w:cstheme="majorBidi"/>
          <w:sz w:val="24"/>
          <w:szCs w:val="24"/>
          <w:lang w:val="en-US"/>
        </w:rPr>
        <w:t>trématodes</w:t>
      </w:r>
      <w:proofErr w:type="spellEnd"/>
      <w:r w:rsidRPr="00725AE9">
        <w:rPr>
          <w:rFonts w:asciiTheme="majorBidi" w:hAnsiTheme="majorBidi" w:cstheme="majorBidi"/>
          <w:sz w:val="24"/>
          <w:szCs w:val="24"/>
          <w:lang w:val="en-US"/>
        </w:rPr>
        <w:t xml:space="preserve"> gastrointestinal of the ovine races in some </w:t>
      </w:r>
      <w:proofErr w:type="spellStart"/>
      <w:r w:rsidRPr="00725AE9">
        <w:rPr>
          <w:rFonts w:asciiTheme="majorBidi" w:hAnsiTheme="majorBidi" w:cstheme="majorBidi"/>
          <w:sz w:val="24"/>
          <w:szCs w:val="24"/>
          <w:lang w:val="en-US"/>
        </w:rPr>
        <w:t>breedings</w:t>
      </w:r>
      <w:proofErr w:type="spellEnd"/>
      <w:r w:rsidRPr="00725AE9">
        <w:rPr>
          <w:rFonts w:asciiTheme="majorBidi" w:hAnsiTheme="majorBidi" w:cstheme="majorBidi"/>
          <w:sz w:val="24"/>
          <w:szCs w:val="24"/>
          <w:lang w:val="en-US"/>
        </w:rPr>
        <w:t xml:space="preserve"> situated around by Algiers During whom(which), 109 takings of feces of ovine races were made and analyzed in the laboratory of </w:t>
      </w:r>
      <w:proofErr w:type="spellStart"/>
      <w:r w:rsidRPr="00725AE9">
        <w:rPr>
          <w:rFonts w:asciiTheme="majorBidi" w:hAnsiTheme="majorBidi" w:cstheme="majorBidi"/>
          <w:sz w:val="24"/>
          <w:szCs w:val="24"/>
          <w:lang w:val="en-US"/>
        </w:rPr>
        <w:t>parasitology</w:t>
      </w:r>
      <w:proofErr w:type="spellEnd"/>
      <w:r w:rsidRPr="00725AE9">
        <w:rPr>
          <w:rFonts w:asciiTheme="majorBidi" w:hAnsiTheme="majorBidi" w:cstheme="majorBidi"/>
          <w:sz w:val="24"/>
          <w:szCs w:val="24"/>
          <w:lang w:val="en-US"/>
        </w:rPr>
        <w:t xml:space="preserve"> of the ENSV by the technique of enrichment by flotation. In the </w:t>
      </w:r>
      <w:proofErr w:type="gramStart"/>
      <w:r w:rsidRPr="00725AE9">
        <w:rPr>
          <w:rFonts w:asciiTheme="majorBidi" w:hAnsiTheme="majorBidi" w:cstheme="majorBidi"/>
          <w:sz w:val="24"/>
          <w:szCs w:val="24"/>
          <w:lang w:val="en-US"/>
        </w:rPr>
        <w:t>outcome(</w:t>
      </w:r>
      <w:proofErr w:type="gramEnd"/>
      <w:r w:rsidRPr="00725AE9">
        <w:rPr>
          <w:rFonts w:asciiTheme="majorBidi" w:hAnsiTheme="majorBidi" w:cstheme="majorBidi"/>
          <w:sz w:val="24"/>
          <w:szCs w:val="24"/>
          <w:lang w:val="en-US"/>
        </w:rPr>
        <w:t xml:space="preserve">exit), the results(profits) show global prevalence </w:t>
      </w:r>
      <w:proofErr w:type="spellStart"/>
      <w:r w:rsidRPr="00725AE9">
        <w:rPr>
          <w:rFonts w:asciiTheme="majorBidi" w:hAnsiTheme="majorBidi" w:cstheme="majorBidi"/>
          <w:sz w:val="24"/>
          <w:szCs w:val="24"/>
          <w:lang w:val="en-US"/>
        </w:rPr>
        <w:t>coccidies</w:t>
      </w:r>
      <w:proofErr w:type="spellEnd"/>
      <w:r w:rsidRPr="00725AE9">
        <w:rPr>
          <w:rFonts w:asciiTheme="majorBidi" w:hAnsiTheme="majorBidi" w:cstheme="majorBidi"/>
          <w:sz w:val="24"/>
          <w:szCs w:val="24"/>
          <w:lang w:val="en-US"/>
        </w:rPr>
        <w:t xml:space="preserve"> (50,46 %) other gastrointestinal parasites were identified; </w:t>
      </w:r>
      <w:proofErr w:type="spellStart"/>
      <w:r w:rsidRPr="00725AE9">
        <w:rPr>
          <w:rFonts w:asciiTheme="majorBidi" w:hAnsiTheme="majorBidi" w:cstheme="majorBidi"/>
          <w:sz w:val="24"/>
          <w:szCs w:val="24"/>
          <w:lang w:val="en-US"/>
        </w:rPr>
        <w:t>nématodes</w:t>
      </w:r>
      <w:proofErr w:type="spellEnd"/>
      <w:r w:rsidRPr="00725AE9">
        <w:rPr>
          <w:rFonts w:asciiTheme="majorBidi" w:hAnsiTheme="majorBidi" w:cstheme="majorBidi"/>
          <w:sz w:val="24"/>
          <w:szCs w:val="24"/>
          <w:lang w:val="en-US"/>
        </w:rPr>
        <w:t xml:space="preserve"> (77,9 %), </w:t>
      </w:r>
      <w:proofErr w:type="spellStart"/>
      <w:r w:rsidRPr="00725AE9">
        <w:rPr>
          <w:rFonts w:asciiTheme="majorBidi" w:hAnsiTheme="majorBidi" w:cstheme="majorBidi"/>
          <w:sz w:val="24"/>
          <w:szCs w:val="24"/>
          <w:lang w:val="en-US"/>
        </w:rPr>
        <w:t>cestodes</w:t>
      </w:r>
      <w:proofErr w:type="spellEnd"/>
      <w:r w:rsidRPr="00725AE9">
        <w:rPr>
          <w:rFonts w:asciiTheme="majorBidi" w:hAnsiTheme="majorBidi" w:cstheme="majorBidi"/>
          <w:sz w:val="24"/>
          <w:szCs w:val="24"/>
          <w:lang w:val="en-US"/>
        </w:rPr>
        <w:t xml:space="preserve"> (7,33 %) and The identified </w:t>
      </w:r>
      <w:proofErr w:type="spellStart"/>
      <w:r w:rsidRPr="00725AE9">
        <w:rPr>
          <w:rFonts w:asciiTheme="majorBidi" w:hAnsiTheme="majorBidi" w:cstheme="majorBidi"/>
          <w:sz w:val="24"/>
          <w:szCs w:val="24"/>
          <w:lang w:val="en-US"/>
        </w:rPr>
        <w:t>trématodes</w:t>
      </w:r>
      <w:proofErr w:type="spellEnd"/>
      <w:r w:rsidRPr="00725AE9">
        <w:rPr>
          <w:rFonts w:asciiTheme="majorBidi" w:hAnsiTheme="majorBidi" w:cstheme="majorBidi"/>
          <w:sz w:val="24"/>
          <w:szCs w:val="24"/>
          <w:lang w:val="en-US"/>
        </w:rPr>
        <w:t xml:space="preserve"> is </w:t>
      </w:r>
      <w:proofErr w:type="spellStart"/>
      <w:r w:rsidRPr="00725AE9">
        <w:rPr>
          <w:rFonts w:asciiTheme="majorBidi" w:hAnsiTheme="majorBidi" w:cstheme="majorBidi"/>
          <w:sz w:val="24"/>
          <w:szCs w:val="24"/>
          <w:lang w:val="en-US"/>
        </w:rPr>
        <w:t>Fasciola</w:t>
      </w:r>
      <w:proofErr w:type="spellEnd"/>
      <w:r w:rsidRPr="00725AE9">
        <w:rPr>
          <w:rFonts w:asciiTheme="majorBidi" w:hAnsiTheme="majorBidi" w:cstheme="majorBidi"/>
          <w:sz w:val="24"/>
          <w:szCs w:val="24"/>
          <w:lang w:val="en-US"/>
        </w:rPr>
        <w:t xml:space="preserve">, </w:t>
      </w:r>
      <w:proofErr w:type="spellStart"/>
      <w:r w:rsidRPr="00725AE9">
        <w:rPr>
          <w:rFonts w:asciiTheme="majorBidi" w:hAnsiTheme="majorBidi" w:cstheme="majorBidi"/>
          <w:sz w:val="24"/>
          <w:szCs w:val="24"/>
          <w:lang w:val="en-US"/>
        </w:rPr>
        <w:t>Paramphistomum</w:t>
      </w:r>
      <w:proofErr w:type="spellEnd"/>
      <w:r w:rsidRPr="00725AE9">
        <w:rPr>
          <w:rFonts w:asciiTheme="majorBidi" w:hAnsiTheme="majorBidi" w:cstheme="majorBidi"/>
          <w:sz w:val="24"/>
          <w:szCs w:val="24"/>
          <w:lang w:val="en-US"/>
        </w:rPr>
        <w:t xml:space="preserve"> and </w:t>
      </w:r>
      <w:proofErr w:type="spellStart"/>
      <w:r w:rsidRPr="00725AE9">
        <w:rPr>
          <w:rFonts w:asciiTheme="majorBidi" w:hAnsiTheme="majorBidi" w:cstheme="majorBidi"/>
          <w:sz w:val="24"/>
          <w:szCs w:val="24"/>
          <w:lang w:val="en-US"/>
        </w:rPr>
        <w:t>Dicrocelium</w:t>
      </w:r>
      <w:proofErr w:type="spellEnd"/>
      <w:r w:rsidRPr="00725AE9">
        <w:rPr>
          <w:rFonts w:asciiTheme="majorBidi" w:hAnsiTheme="majorBidi" w:cstheme="majorBidi"/>
          <w:sz w:val="24"/>
          <w:szCs w:val="24"/>
          <w:lang w:val="en-US"/>
        </w:rPr>
        <w:t xml:space="preserve"> with </w:t>
      </w:r>
      <w:proofErr w:type="spellStart"/>
      <w:r w:rsidRPr="00725AE9">
        <w:rPr>
          <w:rFonts w:asciiTheme="majorBidi" w:hAnsiTheme="majorBidi" w:cstheme="majorBidi"/>
          <w:sz w:val="24"/>
          <w:szCs w:val="24"/>
          <w:lang w:val="en-US"/>
        </w:rPr>
        <w:t>prevalences</w:t>
      </w:r>
      <w:proofErr w:type="spellEnd"/>
      <w:r w:rsidRPr="00725AE9">
        <w:rPr>
          <w:rFonts w:asciiTheme="majorBidi" w:hAnsiTheme="majorBidi" w:cstheme="majorBidi"/>
          <w:sz w:val="24"/>
          <w:szCs w:val="24"/>
          <w:lang w:val="en-US"/>
        </w:rPr>
        <w:t xml:space="preserve"> of (2,75 %), (2,75 %) and (0,9 %), respectively. The study revealed cases of </w:t>
      </w:r>
      <w:proofErr w:type="spellStart"/>
      <w:r w:rsidRPr="00725AE9">
        <w:rPr>
          <w:rFonts w:asciiTheme="majorBidi" w:hAnsiTheme="majorBidi" w:cstheme="majorBidi"/>
          <w:sz w:val="24"/>
          <w:szCs w:val="24"/>
          <w:lang w:val="en-US"/>
        </w:rPr>
        <w:t>polyparasitisme</w:t>
      </w:r>
      <w:proofErr w:type="spellEnd"/>
      <w:r w:rsidRPr="00725AE9">
        <w:rPr>
          <w:rFonts w:asciiTheme="majorBidi" w:hAnsiTheme="majorBidi" w:cstheme="majorBidi"/>
          <w:sz w:val="24"/>
          <w:szCs w:val="24"/>
          <w:lang w:val="en-US"/>
        </w:rPr>
        <w:t xml:space="preserve"> which can accommodate at the same time several classes of parasites. Besides, the age seems to be a </w:t>
      </w:r>
      <w:proofErr w:type="gramStart"/>
      <w:r w:rsidRPr="00725AE9">
        <w:rPr>
          <w:rFonts w:asciiTheme="majorBidi" w:hAnsiTheme="majorBidi" w:cstheme="majorBidi"/>
          <w:sz w:val="24"/>
          <w:szCs w:val="24"/>
          <w:lang w:val="en-US"/>
        </w:rPr>
        <w:t>factor(</w:t>
      </w:r>
      <w:proofErr w:type="gramEnd"/>
      <w:r w:rsidRPr="00725AE9">
        <w:rPr>
          <w:rFonts w:asciiTheme="majorBidi" w:hAnsiTheme="majorBidi" w:cstheme="majorBidi"/>
          <w:sz w:val="24"/>
          <w:szCs w:val="24"/>
          <w:lang w:val="en-US"/>
        </w:rPr>
        <w:t xml:space="preserve">mailman) influencing prevalence of </w:t>
      </w:r>
      <w:proofErr w:type="spellStart"/>
      <w:r w:rsidRPr="00725AE9">
        <w:rPr>
          <w:rFonts w:asciiTheme="majorBidi" w:hAnsiTheme="majorBidi" w:cstheme="majorBidi"/>
          <w:sz w:val="24"/>
          <w:szCs w:val="24"/>
          <w:lang w:val="en-US"/>
        </w:rPr>
        <w:t>coccidies</w:t>
      </w:r>
      <w:proofErr w:type="spellEnd"/>
      <w:r w:rsidRPr="00725AE9">
        <w:rPr>
          <w:rFonts w:asciiTheme="majorBidi" w:hAnsiTheme="majorBidi" w:cstheme="majorBidi"/>
          <w:sz w:val="24"/>
          <w:szCs w:val="24"/>
          <w:lang w:val="en-US"/>
        </w:rPr>
        <w:t xml:space="preserve">. Indeed, the young people less than year are the most </w:t>
      </w:r>
      <w:proofErr w:type="spellStart"/>
      <w:r w:rsidRPr="00725AE9">
        <w:rPr>
          <w:rFonts w:asciiTheme="majorBidi" w:hAnsiTheme="majorBidi" w:cstheme="majorBidi"/>
          <w:sz w:val="24"/>
          <w:szCs w:val="24"/>
          <w:lang w:val="en-US"/>
        </w:rPr>
        <w:t>vulnerable.Besides</w:t>
      </w:r>
      <w:proofErr w:type="spellEnd"/>
      <w:r w:rsidRPr="00725AE9">
        <w:rPr>
          <w:rFonts w:asciiTheme="majorBidi" w:hAnsiTheme="majorBidi" w:cstheme="majorBidi"/>
          <w:sz w:val="24"/>
          <w:szCs w:val="24"/>
          <w:lang w:val="en-US"/>
        </w:rPr>
        <w:t xml:space="preserve">, the sex, the breeding technique and the zone are probably risk factors. This study shows that in spite of strong rate of infestation found by </w:t>
      </w:r>
      <w:proofErr w:type="spellStart"/>
      <w:r w:rsidRPr="00725AE9">
        <w:rPr>
          <w:rFonts w:asciiTheme="majorBidi" w:hAnsiTheme="majorBidi" w:cstheme="majorBidi"/>
          <w:sz w:val="24"/>
          <w:szCs w:val="24"/>
          <w:lang w:val="en-US"/>
        </w:rPr>
        <w:t>coccidies</w:t>
      </w:r>
      <w:proofErr w:type="spellEnd"/>
      <w:r w:rsidRPr="00725AE9">
        <w:rPr>
          <w:rFonts w:asciiTheme="majorBidi" w:hAnsiTheme="majorBidi" w:cstheme="majorBidi"/>
          <w:sz w:val="24"/>
          <w:szCs w:val="24"/>
          <w:lang w:val="en-US"/>
        </w:rPr>
        <w:t xml:space="preserve">, the </w:t>
      </w:r>
      <w:proofErr w:type="spellStart"/>
      <w:r w:rsidRPr="00725AE9">
        <w:rPr>
          <w:rFonts w:asciiTheme="majorBidi" w:hAnsiTheme="majorBidi" w:cstheme="majorBidi"/>
          <w:sz w:val="24"/>
          <w:szCs w:val="24"/>
          <w:lang w:val="en-US"/>
        </w:rPr>
        <w:t>polyparasitisme</w:t>
      </w:r>
      <w:proofErr w:type="spellEnd"/>
      <w:r w:rsidRPr="00725AE9">
        <w:rPr>
          <w:rFonts w:asciiTheme="majorBidi" w:hAnsiTheme="majorBidi" w:cstheme="majorBidi"/>
          <w:sz w:val="24"/>
          <w:szCs w:val="24"/>
          <w:lang w:val="en-US"/>
        </w:rPr>
        <w:t xml:space="preserve"> gastronomic - intestinal is important at the ovine </w:t>
      </w:r>
      <w:proofErr w:type="gramStart"/>
      <w:r w:rsidRPr="00725AE9">
        <w:rPr>
          <w:rFonts w:asciiTheme="majorBidi" w:hAnsiTheme="majorBidi" w:cstheme="majorBidi"/>
          <w:sz w:val="24"/>
          <w:szCs w:val="24"/>
          <w:lang w:val="en-US"/>
        </w:rPr>
        <w:t>sort(</w:t>
      </w:r>
      <w:proofErr w:type="gramEnd"/>
      <w:r w:rsidRPr="00725AE9">
        <w:rPr>
          <w:rFonts w:asciiTheme="majorBidi" w:hAnsiTheme="majorBidi" w:cstheme="majorBidi"/>
          <w:sz w:val="24"/>
          <w:szCs w:val="24"/>
          <w:lang w:val="en-US"/>
        </w:rPr>
        <w:t>species).</w:t>
      </w:r>
    </w:p>
    <w:sectPr w:rsidR="002B6AAD" w:rsidRPr="00725AE9"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25AE9"/>
    <w:rsid w:val="002B6AAD"/>
    <w:rsid w:val="00725A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2836</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2019-11-24T08:09:00Z</dcterms:created>
  <dcterms:modified xsi:type="dcterms:W3CDTF">2019-11-24T08:11:00Z</dcterms:modified>
</cp:coreProperties>
</file>