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26" w:rsidRDefault="0038268C" w:rsidP="00B14726">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B14726" w:rsidRPr="00B14726">
        <w:rPr>
          <w:rFonts w:asciiTheme="majorBidi" w:eastAsia="Times New Roman" w:hAnsiTheme="majorBidi" w:cstheme="majorBidi"/>
          <w:b/>
          <w:bCs/>
          <w:sz w:val="28"/>
          <w:szCs w:val="28"/>
          <w:lang w:eastAsia="fr-FR"/>
        </w:rPr>
        <w:t xml:space="preserve">Caractérisation phénotypique et génotypique de </w:t>
      </w:r>
      <w:proofErr w:type="spellStart"/>
      <w:r w:rsidR="00B14726" w:rsidRPr="00B14726">
        <w:rPr>
          <w:rFonts w:asciiTheme="majorBidi" w:eastAsia="Times New Roman" w:hAnsiTheme="majorBidi" w:cstheme="majorBidi"/>
          <w:b/>
          <w:bCs/>
          <w:sz w:val="28"/>
          <w:szCs w:val="28"/>
          <w:lang w:eastAsia="fr-FR"/>
        </w:rPr>
        <w:t>cryptosporidium</w:t>
      </w:r>
      <w:proofErr w:type="spellEnd"/>
      <w:r w:rsidR="00B14726" w:rsidRPr="00B14726">
        <w:rPr>
          <w:rFonts w:asciiTheme="majorBidi" w:eastAsia="Times New Roman" w:hAnsiTheme="majorBidi" w:cstheme="majorBidi"/>
          <w:b/>
          <w:bCs/>
          <w:sz w:val="28"/>
          <w:szCs w:val="28"/>
          <w:lang w:eastAsia="fr-FR"/>
        </w:rPr>
        <w:t xml:space="preserve"> chez les ruminants et stratégies thérapeutiques </w:t>
      </w:r>
    </w:p>
    <w:p w:rsidR="00330D36" w:rsidRPr="007C1B1D" w:rsidRDefault="003F77FB" w:rsidP="00B1472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14726" w:rsidRPr="00B14726" w:rsidRDefault="00B14726" w:rsidP="00B14726">
      <w:pPr>
        <w:ind w:right="-142"/>
        <w:rPr>
          <w:rFonts w:asciiTheme="majorBidi" w:hAnsiTheme="majorBidi" w:cstheme="majorBidi"/>
          <w:sz w:val="24"/>
          <w:szCs w:val="24"/>
        </w:rPr>
      </w:pP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est un parasite protiste intracellulaire mais extra-cytoplasmique obligatoire qui infecte un large éventail d'hôtes vertébrés et cause une maladie intestinale importante chez les animaux et chez l'homme. Le but de cette étude était de détecter et de caractériser </w:t>
      </w: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w:t>
      </w:r>
      <w:proofErr w:type="spellStart"/>
      <w:r w:rsidRPr="00B14726">
        <w:rPr>
          <w:rFonts w:asciiTheme="majorBidi" w:hAnsiTheme="majorBidi" w:cstheme="majorBidi"/>
          <w:sz w:val="24"/>
          <w:szCs w:val="24"/>
        </w:rPr>
        <w:t>spp</w:t>
      </w:r>
      <w:proofErr w:type="spellEnd"/>
      <w:r w:rsidRPr="00B14726">
        <w:rPr>
          <w:rFonts w:asciiTheme="majorBidi" w:hAnsiTheme="majorBidi" w:cstheme="majorBidi"/>
          <w:sz w:val="24"/>
          <w:szCs w:val="24"/>
        </w:rPr>
        <w:t xml:space="preserve">. </w:t>
      </w:r>
      <w:proofErr w:type="gramStart"/>
      <w:r w:rsidRPr="00B14726">
        <w:rPr>
          <w:rFonts w:asciiTheme="majorBidi" w:hAnsiTheme="majorBidi" w:cstheme="majorBidi"/>
          <w:sz w:val="24"/>
          <w:szCs w:val="24"/>
        </w:rPr>
        <w:t>dans</w:t>
      </w:r>
      <w:proofErr w:type="gramEnd"/>
      <w:r w:rsidRPr="00B14726">
        <w:rPr>
          <w:rFonts w:asciiTheme="majorBidi" w:hAnsiTheme="majorBidi" w:cstheme="majorBidi"/>
          <w:sz w:val="24"/>
          <w:szCs w:val="24"/>
        </w:rPr>
        <w:t xml:space="preserve"> des échantillons fécaux de veaux et d’agneaux naturellement infectés en Algérie. Un total de 65 et 83 échantillons fécaux de veaux et d’agneaux (âgés de moins de 3 mois) a été recueilli dans 12 et 14 fermes d'élevages de vaches laitières et de bergeries respectivement, dans quatre régions répartis sur huit wilayas. La présence de </w:t>
      </w: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a été établie par une méthode d’immunofluorescence (IF). Des échantillons positifs ont ensuite été analysés par PCR-</w:t>
      </w:r>
      <w:proofErr w:type="spellStart"/>
      <w:r w:rsidRPr="00B14726">
        <w:rPr>
          <w:rFonts w:asciiTheme="majorBidi" w:hAnsiTheme="majorBidi" w:cstheme="majorBidi"/>
          <w:sz w:val="24"/>
          <w:szCs w:val="24"/>
        </w:rPr>
        <w:t>ARNr</w:t>
      </w:r>
      <w:proofErr w:type="spellEnd"/>
      <w:r w:rsidRPr="00B14726">
        <w:rPr>
          <w:rFonts w:asciiTheme="majorBidi" w:hAnsiTheme="majorBidi" w:cstheme="majorBidi"/>
          <w:sz w:val="24"/>
          <w:szCs w:val="24"/>
        </w:rPr>
        <w:t xml:space="preserve"> 18S et PCR-RFLP afin de déterminer les espèces présentes. Les échantillons positifs pour </w:t>
      </w:r>
      <w:proofErr w:type="spellStart"/>
      <w:r w:rsidRPr="00B14726">
        <w:rPr>
          <w:rFonts w:asciiTheme="majorBidi" w:hAnsiTheme="majorBidi" w:cstheme="majorBidi"/>
          <w:sz w:val="24"/>
          <w:szCs w:val="24"/>
        </w:rPr>
        <w:t>Cryptosporidiumparvum</w:t>
      </w:r>
      <w:proofErr w:type="spellEnd"/>
      <w:r w:rsidRPr="00B14726">
        <w:rPr>
          <w:rFonts w:asciiTheme="majorBidi" w:hAnsiTheme="majorBidi" w:cstheme="majorBidi"/>
          <w:sz w:val="24"/>
          <w:szCs w:val="24"/>
        </w:rPr>
        <w:t xml:space="preserve"> ont été </w:t>
      </w:r>
      <w:proofErr w:type="spellStart"/>
      <w:r w:rsidRPr="00B14726">
        <w:rPr>
          <w:rFonts w:asciiTheme="majorBidi" w:hAnsiTheme="majorBidi" w:cstheme="majorBidi"/>
          <w:sz w:val="24"/>
          <w:szCs w:val="24"/>
        </w:rPr>
        <w:t>sous-typés</w:t>
      </w:r>
      <w:proofErr w:type="spellEnd"/>
      <w:r w:rsidRPr="00B14726">
        <w:rPr>
          <w:rFonts w:asciiTheme="majorBidi" w:hAnsiTheme="majorBidi" w:cstheme="majorBidi"/>
          <w:sz w:val="24"/>
          <w:szCs w:val="24"/>
        </w:rPr>
        <w:t xml:space="preserve"> via un séquençage des produits d’amplification du gène gp60. L’étude microscopique à l’immunofluorescence a révélé la présence d’oocystes de </w:t>
      </w: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dans 40/65 (62%) et 36/83 (43%) respectivement chez les veaux et les agneaux. Les résultats de l’analyse PCR-gp60 a </w:t>
      </w:r>
      <w:proofErr w:type="spellStart"/>
      <w:r w:rsidRPr="00B14726">
        <w:rPr>
          <w:rFonts w:asciiTheme="majorBidi" w:hAnsiTheme="majorBidi" w:cstheme="majorBidi"/>
          <w:sz w:val="24"/>
          <w:szCs w:val="24"/>
        </w:rPr>
        <w:t>montréla</w:t>
      </w:r>
      <w:proofErr w:type="spellEnd"/>
      <w:r w:rsidRPr="00B14726">
        <w:rPr>
          <w:rFonts w:asciiTheme="majorBidi" w:hAnsiTheme="majorBidi" w:cstheme="majorBidi"/>
          <w:sz w:val="24"/>
          <w:szCs w:val="24"/>
        </w:rPr>
        <w:t xml:space="preserve"> présence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C. </w:t>
      </w:r>
      <w:proofErr w:type="spellStart"/>
      <w:r w:rsidRPr="00B14726">
        <w:rPr>
          <w:rFonts w:asciiTheme="majorBidi" w:hAnsiTheme="majorBidi" w:cstheme="majorBidi"/>
          <w:sz w:val="24"/>
          <w:szCs w:val="24"/>
        </w:rPr>
        <w:t>bovis</w:t>
      </w:r>
      <w:proofErr w:type="spellEnd"/>
      <w:r w:rsidRPr="00B14726">
        <w:rPr>
          <w:rFonts w:asciiTheme="majorBidi" w:hAnsiTheme="majorBidi" w:cstheme="majorBidi"/>
          <w:sz w:val="24"/>
          <w:szCs w:val="24"/>
        </w:rPr>
        <w:t xml:space="preserve"> et C. </w:t>
      </w:r>
      <w:proofErr w:type="spellStart"/>
      <w:r w:rsidRPr="00B14726">
        <w:rPr>
          <w:rFonts w:asciiTheme="majorBidi" w:hAnsiTheme="majorBidi" w:cstheme="majorBidi"/>
          <w:sz w:val="24"/>
          <w:szCs w:val="24"/>
        </w:rPr>
        <w:t>ubiquitum</w:t>
      </w:r>
      <w:proofErr w:type="spellEnd"/>
      <w:r w:rsidRPr="00B14726">
        <w:rPr>
          <w:rFonts w:asciiTheme="majorBidi" w:hAnsiTheme="majorBidi" w:cstheme="majorBidi"/>
          <w:sz w:val="24"/>
          <w:szCs w:val="24"/>
        </w:rPr>
        <w:t xml:space="preserve">. L’étape du sous-typage des isolats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a révélé deux familles du génotype, </w:t>
      </w:r>
      <w:proofErr w:type="spellStart"/>
      <w:r w:rsidRPr="00B14726">
        <w:rPr>
          <w:rFonts w:asciiTheme="majorBidi" w:hAnsiTheme="majorBidi" w:cstheme="majorBidi"/>
          <w:sz w:val="24"/>
          <w:szCs w:val="24"/>
        </w:rPr>
        <w:t>IIa</w:t>
      </w:r>
      <w:proofErr w:type="spellEnd"/>
      <w:r w:rsidRPr="00B14726">
        <w:rPr>
          <w:rFonts w:asciiTheme="majorBidi" w:hAnsiTheme="majorBidi" w:cstheme="majorBidi"/>
          <w:sz w:val="24"/>
          <w:szCs w:val="24"/>
        </w:rPr>
        <w:t xml:space="preserve"> et </w:t>
      </w:r>
      <w:proofErr w:type="spellStart"/>
      <w:r w:rsidRPr="00B14726">
        <w:rPr>
          <w:rFonts w:asciiTheme="majorBidi" w:hAnsiTheme="majorBidi" w:cstheme="majorBidi"/>
          <w:sz w:val="24"/>
          <w:szCs w:val="24"/>
        </w:rPr>
        <w:t>IId</w:t>
      </w:r>
      <w:proofErr w:type="spellEnd"/>
      <w:r w:rsidRPr="00B14726">
        <w:rPr>
          <w:rFonts w:asciiTheme="majorBidi" w:hAnsiTheme="majorBidi" w:cstheme="majorBidi"/>
          <w:sz w:val="24"/>
          <w:szCs w:val="24"/>
        </w:rPr>
        <w:t xml:space="preserve">. Quatre sous-types ont été reconnus dans la famille </w:t>
      </w:r>
      <w:proofErr w:type="spellStart"/>
      <w:r w:rsidRPr="00B14726">
        <w:rPr>
          <w:rFonts w:asciiTheme="majorBidi" w:hAnsiTheme="majorBidi" w:cstheme="majorBidi"/>
          <w:sz w:val="24"/>
          <w:szCs w:val="24"/>
        </w:rPr>
        <w:t>IIa</w:t>
      </w:r>
      <w:proofErr w:type="spellEnd"/>
      <w:r w:rsidRPr="00B14726">
        <w:rPr>
          <w:rFonts w:asciiTheme="majorBidi" w:hAnsiTheme="majorBidi" w:cstheme="majorBidi"/>
          <w:sz w:val="24"/>
          <w:szCs w:val="24"/>
        </w:rPr>
        <w:t xml:space="preserve"> (IIaA15G2R1, IIaA13G2R1, IIaA16G2R1 et IIaA21G2R1). Un sous-type majoritaire a été reconnu dans la famille </w:t>
      </w:r>
      <w:proofErr w:type="spellStart"/>
      <w:r w:rsidRPr="00B14726">
        <w:rPr>
          <w:rFonts w:asciiTheme="majorBidi" w:hAnsiTheme="majorBidi" w:cstheme="majorBidi"/>
          <w:sz w:val="24"/>
          <w:szCs w:val="24"/>
        </w:rPr>
        <w:t>IId</w:t>
      </w:r>
      <w:proofErr w:type="spellEnd"/>
      <w:r w:rsidRPr="00B14726">
        <w:rPr>
          <w:rFonts w:asciiTheme="majorBidi" w:hAnsiTheme="majorBidi" w:cstheme="majorBidi"/>
          <w:sz w:val="24"/>
          <w:szCs w:val="24"/>
        </w:rPr>
        <w:t xml:space="preserve">, le sous-type IIdA16G1. Ces résultats illustrent la forte présence de </w:t>
      </w: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chez les ruminants et augmentent la diversité des isolats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avec la première description des sous-types IIaA15G2R1 et IIdA16G1 en Algérie. La présence de familles de sous-types zoonotiques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w:t>
      </w:r>
      <w:proofErr w:type="spellStart"/>
      <w:r w:rsidRPr="00B14726">
        <w:rPr>
          <w:rFonts w:asciiTheme="majorBidi" w:hAnsiTheme="majorBidi" w:cstheme="majorBidi"/>
          <w:sz w:val="24"/>
          <w:szCs w:val="24"/>
        </w:rPr>
        <w:t>IIa</w:t>
      </w:r>
      <w:proofErr w:type="spellEnd"/>
      <w:r w:rsidRPr="00B14726">
        <w:rPr>
          <w:rFonts w:asciiTheme="majorBidi" w:hAnsiTheme="majorBidi" w:cstheme="majorBidi"/>
          <w:sz w:val="24"/>
          <w:szCs w:val="24"/>
        </w:rPr>
        <w:t xml:space="preserve">, </w:t>
      </w:r>
      <w:proofErr w:type="spellStart"/>
      <w:r w:rsidRPr="00B14726">
        <w:rPr>
          <w:rFonts w:asciiTheme="majorBidi" w:hAnsiTheme="majorBidi" w:cstheme="majorBidi"/>
          <w:sz w:val="24"/>
          <w:szCs w:val="24"/>
        </w:rPr>
        <w:t>IId</w:t>
      </w:r>
      <w:proofErr w:type="spellEnd"/>
      <w:r w:rsidRPr="00B14726">
        <w:rPr>
          <w:rFonts w:asciiTheme="majorBidi" w:hAnsiTheme="majorBidi" w:cstheme="majorBidi"/>
          <w:sz w:val="24"/>
          <w:szCs w:val="24"/>
        </w:rPr>
        <w:t xml:space="preserve">) dans cette étude suggère que les ruminants constituent probablement un important réservoir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zoonotique. Il n'existe actuellement aucun traitement disponible totalement efficace contre la </w:t>
      </w:r>
      <w:proofErr w:type="spellStart"/>
      <w:r w:rsidRPr="00B14726">
        <w:rPr>
          <w:rFonts w:asciiTheme="majorBidi" w:hAnsiTheme="majorBidi" w:cstheme="majorBidi"/>
          <w:sz w:val="24"/>
          <w:szCs w:val="24"/>
        </w:rPr>
        <w:t>cryptosporidiose</w:t>
      </w:r>
      <w:proofErr w:type="spellEnd"/>
      <w:r w:rsidRPr="00B14726">
        <w:rPr>
          <w:rFonts w:asciiTheme="majorBidi" w:hAnsiTheme="majorBidi" w:cstheme="majorBidi"/>
          <w:sz w:val="24"/>
          <w:szCs w:val="24"/>
        </w:rPr>
        <w:t xml:space="preserve"> chez l'homme ou chez l'animal. Par conséquent, il existe un besoin critique pour le développement de nouveaux agents thérapeutiques. Afin de montrer l'activité "</w:t>
      </w:r>
      <w:proofErr w:type="spellStart"/>
      <w:r w:rsidRPr="00B14726">
        <w:rPr>
          <w:rFonts w:asciiTheme="majorBidi" w:hAnsiTheme="majorBidi" w:cstheme="majorBidi"/>
          <w:sz w:val="24"/>
          <w:szCs w:val="24"/>
        </w:rPr>
        <w:t>anticryptosporidienne</w:t>
      </w:r>
      <w:proofErr w:type="spellEnd"/>
      <w:r w:rsidRPr="00B14726">
        <w:rPr>
          <w:rFonts w:asciiTheme="majorBidi" w:hAnsiTheme="majorBidi" w:cstheme="majorBidi"/>
          <w:sz w:val="24"/>
          <w:szCs w:val="24"/>
        </w:rPr>
        <w:t xml:space="preserve">" de deux polysaccharides naturels : </w:t>
      </w:r>
      <w:proofErr w:type="spellStart"/>
      <w:r w:rsidRPr="00B14726">
        <w:rPr>
          <w:rFonts w:asciiTheme="majorBidi" w:hAnsiTheme="majorBidi" w:cstheme="majorBidi"/>
          <w:sz w:val="24"/>
          <w:szCs w:val="24"/>
        </w:rPr>
        <w:t>chitosans</w:t>
      </w:r>
      <w:proofErr w:type="spellEnd"/>
      <w:r w:rsidRPr="00B14726">
        <w:rPr>
          <w:rFonts w:asciiTheme="majorBidi" w:hAnsiTheme="majorBidi" w:cstheme="majorBidi"/>
          <w:sz w:val="24"/>
          <w:szCs w:val="24"/>
        </w:rPr>
        <w:t xml:space="preserve"> ainsi que de la </w:t>
      </w:r>
      <w:proofErr w:type="spellStart"/>
      <w:r w:rsidRPr="00B14726">
        <w:rPr>
          <w:rFonts w:asciiTheme="majorBidi" w:hAnsiTheme="majorBidi" w:cstheme="majorBidi"/>
          <w:sz w:val="24"/>
          <w:szCs w:val="24"/>
        </w:rPr>
        <w:t>Paromomycine</w:t>
      </w:r>
      <w:proofErr w:type="spellEnd"/>
      <w:r w:rsidRPr="00B14726">
        <w:rPr>
          <w:rFonts w:asciiTheme="majorBidi" w:hAnsiTheme="majorBidi" w:cstheme="majorBidi"/>
          <w:sz w:val="24"/>
          <w:szCs w:val="24"/>
        </w:rPr>
        <w:t xml:space="preserve">, nous avons étudié les effets de ces molécules sur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d’isolats bovin et ovin dans deux modèles in vitro (lignées HCT-8 et Caco-2) et in vivo (souris CD-1 nouveau-nés). Les tapis cellulaires ainsi que les souriceaux ont été inoculés avec des oocystes de C. </w:t>
      </w:r>
      <w:proofErr w:type="spellStart"/>
      <w:r w:rsidRPr="00B14726">
        <w:rPr>
          <w:rFonts w:asciiTheme="majorBidi" w:hAnsiTheme="majorBidi" w:cstheme="majorBidi"/>
          <w:sz w:val="24"/>
          <w:szCs w:val="24"/>
        </w:rPr>
        <w:t>parvum</w:t>
      </w:r>
      <w:proofErr w:type="spellEnd"/>
      <w:r w:rsidRPr="00B14726">
        <w:rPr>
          <w:rFonts w:asciiTheme="majorBidi" w:hAnsiTheme="majorBidi" w:cstheme="majorBidi"/>
          <w:sz w:val="24"/>
          <w:szCs w:val="24"/>
        </w:rPr>
        <w:t xml:space="preserve"> (isolats naturels), traités avec les molécules à tester et comparés à des témoins. La </w:t>
      </w:r>
      <w:proofErr w:type="spellStart"/>
      <w:r w:rsidRPr="00B14726">
        <w:rPr>
          <w:rFonts w:asciiTheme="majorBidi" w:hAnsiTheme="majorBidi" w:cstheme="majorBidi"/>
          <w:sz w:val="24"/>
          <w:szCs w:val="24"/>
        </w:rPr>
        <w:t>paromomycine</w:t>
      </w:r>
      <w:proofErr w:type="spellEnd"/>
      <w:r w:rsidRPr="00B14726">
        <w:rPr>
          <w:rFonts w:asciiTheme="majorBidi" w:hAnsiTheme="majorBidi" w:cstheme="majorBidi"/>
          <w:sz w:val="24"/>
          <w:szCs w:val="24"/>
        </w:rPr>
        <w:t>, un médicament classique utilisé en médecine vétérinaire, a été utilisée comme composé de référence. Un test d’</w:t>
      </w:r>
      <w:proofErr w:type="spellStart"/>
      <w:r w:rsidRPr="00B14726">
        <w:rPr>
          <w:rFonts w:asciiTheme="majorBidi" w:hAnsiTheme="majorBidi" w:cstheme="majorBidi"/>
          <w:sz w:val="24"/>
          <w:szCs w:val="24"/>
        </w:rPr>
        <w:t>infectiosité</w:t>
      </w:r>
      <w:proofErr w:type="spellEnd"/>
      <w:r w:rsidRPr="00B14726">
        <w:rPr>
          <w:rFonts w:asciiTheme="majorBidi" w:hAnsiTheme="majorBidi" w:cstheme="majorBidi"/>
          <w:sz w:val="24"/>
          <w:szCs w:val="24"/>
        </w:rPr>
        <w:t xml:space="preserve"> des isolats a été effectué avant l’évaluation de ces molécules. Nos résultats ont montré l’apparition considérable de formes intracellulaires des parasites et des réductions significatives de ces formes intracellulaires des oocystes de </w:t>
      </w:r>
      <w:proofErr w:type="spellStart"/>
      <w:r w:rsidRPr="00B14726">
        <w:rPr>
          <w:rFonts w:asciiTheme="majorBidi" w:hAnsiTheme="majorBidi" w:cstheme="majorBidi"/>
          <w:sz w:val="24"/>
          <w:szCs w:val="24"/>
        </w:rPr>
        <w:t>Cryptosporidium</w:t>
      </w:r>
      <w:proofErr w:type="spellEnd"/>
      <w:r w:rsidRPr="00B14726">
        <w:rPr>
          <w:rFonts w:asciiTheme="majorBidi" w:hAnsiTheme="majorBidi" w:cstheme="majorBidi"/>
          <w:sz w:val="24"/>
          <w:szCs w:val="24"/>
        </w:rPr>
        <w:t xml:space="preserve">. En outre, la </w:t>
      </w:r>
      <w:proofErr w:type="spellStart"/>
      <w:r w:rsidRPr="00B14726">
        <w:rPr>
          <w:rFonts w:asciiTheme="majorBidi" w:hAnsiTheme="majorBidi" w:cstheme="majorBidi"/>
          <w:sz w:val="24"/>
          <w:szCs w:val="24"/>
        </w:rPr>
        <w:t>paromomycine</w:t>
      </w:r>
      <w:proofErr w:type="spellEnd"/>
      <w:r w:rsidRPr="00B14726">
        <w:rPr>
          <w:rFonts w:asciiTheme="majorBidi" w:hAnsiTheme="majorBidi" w:cstheme="majorBidi"/>
          <w:sz w:val="24"/>
          <w:szCs w:val="24"/>
        </w:rPr>
        <w:t xml:space="preserve">, et les </w:t>
      </w:r>
      <w:proofErr w:type="spellStart"/>
      <w:r w:rsidRPr="00B14726">
        <w:rPr>
          <w:rFonts w:asciiTheme="majorBidi" w:hAnsiTheme="majorBidi" w:cstheme="majorBidi"/>
          <w:sz w:val="24"/>
          <w:szCs w:val="24"/>
        </w:rPr>
        <w:t>chitosans</w:t>
      </w:r>
      <w:proofErr w:type="spellEnd"/>
      <w:r w:rsidRPr="00B14726">
        <w:rPr>
          <w:rFonts w:asciiTheme="majorBidi" w:hAnsiTheme="majorBidi" w:cstheme="majorBidi"/>
          <w:sz w:val="24"/>
          <w:szCs w:val="24"/>
        </w:rPr>
        <w:t xml:space="preserve"> inhibent de manière significative la multiplication du parasite dans les cellules HCT-8 et Caco-2 (P &lt;0,05). Dans les études in vivo, le traitement avec </w:t>
      </w:r>
      <w:proofErr w:type="spellStart"/>
      <w:r w:rsidRPr="00B14726">
        <w:rPr>
          <w:rFonts w:asciiTheme="majorBidi" w:hAnsiTheme="majorBidi" w:cstheme="majorBidi"/>
          <w:sz w:val="24"/>
          <w:szCs w:val="24"/>
        </w:rPr>
        <w:t>chitosans</w:t>
      </w:r>
      <w:proofErr w:type="spellEnd"/>
      <w:r w:rsidRPr="00B14726">
        <w:rPr>
          <w:rFonts w:asciiTheme="majorBidi" w:hAnsiTheme="majorBidi" w:cstheme="majorBidi"/>
          <w:sz w:val="24"/>
          <w:szCs w:val="24"/>
        </w:rPr>
        <w:t xml:space="preserve"> ou du sulfate de </w:t>
      </w:r>
      <w:proofErr w:type="spellStart"/>
      <w:r w:rsidRPr="00B14726">
        <w:rPr>
          <w:rFonts w:asciiTheme="majorBidi" w:hAnsiTheme="majorBidi" w:cstheme="majorBidi"/>
          <w:sz w:val="24"/>
          <w:szCs w:val="24"/>
        </w:rPr>
        <w:t>paromomycine</w:t>
      </w:r>
      <w:proofErr w:type="spellEnd"/>
      <w:r w:rsidRPr="00B14726">
        <w:rPr>
          <w:rFonts w:asciiTheme="majorBidi" w:hAnsiTheme="majorBidi" w:cstheme="majorBidi"/>
          <w:sz w:val="24"/>
          <w:szCs w:val="24"/>
        </w:rPr>
        <w:t xml:space="preserve"> a considérablement réduit l'excrétion parasitaire chez les souris nouveau-nées infectées. En conclusion, ces résultats constituent la première preuve in vitro et in vivo des activités anti-</w:t>
      </w:r>
      <w:proofErr w:type="spellStart"/>
      <w:r w:rsidRPr="00B14726">
        <w:rPr>
          <w:rFonts w:asciiTheme="majorBidi" w:hAnsiTheme="majorBidi" w:cstheme="majorBidi"/>
          <w:sz w:val="24"/>
          <w:szCs w:val="24"/>
        </w:rPr>
        <w:t>cryptosporidiennes</w:t>
      </w:r>
      <w:proofErr w:type="spellEnd"/>
      <w:r w:rsidRPr="00B14726">
        <w:rPr>
          <w:rFonts w:asciiTheme="majorBidi" w:hAnsiTheme="majorBidi" w:cstheme="majorBidi"/>
          <w:sz w:val="24"/>
          <w:szCs w:val="24"/>
        </w:rPr>
        <w:t xml:space="preserve"> de ces polysaccharides naturels sur des isolats de terrain de </w:t>
      </w:r>
      <w:proofErr w:type="spellStart"/>
      <w:r w:rsidRPr="00B14726">
        <w:rPr>
          <w:rFonts w:asciiTheme="majorBidi" w:hAnsiTheme="majorBidi" w:cstheme="majorBidi"/>
          <w:sz w:val="24"/>
          <w:szCs w:val="24"/>
        </w:rPr>
        <w:t>Cryptosporidium</w:t>
      </w:r>
      <w:proofErr w:type="spellEnd"/>
    </w:p>
    <w:p w:rsidR="00B14726" w:rsidRPr="00B14726" w:rsidRDefault="00B14726" w:rsidP="00B14726">
      <w:pPr>
        <w:ind w:right="-142"/>
        <w:rPr>
          <w:rFonts w:asciiTheme="majorBidi" w:hAnsiTheme="majorBidi" w:cstheme="majorBidi"/>
          <w:sz w:val="24"/>
          <w:szCs w:val="24"/>
        </w:rPr>
      </w:pPr>
    </w:p>
    <w:p w:rsidR="00B14726" w:rsidRPr="00B14726" w:rsidRDefault="00B14726" w:rsidP="00B14726">
      <w:pPr>
        <w:ind w:right="-142"/>
        <w:rPr>
          <w:rFonts w:asciiTheme="majorBidi" w:hAnsiTheme="majorBidi" w:cstheme="majorBidi"/>
          <w:sz w:val="24"/>
          <w:szCs w:val="24"/>
        </w:rPr>
      </w:pPr>
    </w:p>
    <w:p w:rsidR="00B14726" w:rsidRPr="00B14726" w:rsidRDefault="00B14726" w:rsidP="00B14726">
      <w:pPr>
        <w:ind w:right="-142"/>
        <w:rPr>
          <w:rFonts w:asciiTheme="majorBidi" w:hAnsiTheme="majorBidi" w:cstheme="majorBidi"/>
          <w:sz w:val="24"/>
          <w:szCs w:val="24"/>
        </w:rPr>
      </w:pPr>
    </w:p>
    <w:p w:rsidR="00B14726" w:rsidRPr="00B14726" w:rsidRDefault="00B14726" w:rsidP="00B14726">
      <w:pPr>
        <w:ind w:right="-142"/>
        <w:rPr>
          <w:rFonts w:asciiTheme="majorBidi" w:hAnsiTheme="majorBidi" w:cstheme="majorBidi"/>
          <w:sz w:val="24"/>
          <w:szCs w:val="24"/>
        </w:rPr>
      </w:pPr>
    </w:p>
    <w:p w:rsidR="00B14726" w:rsidRPr="00B14726" w:rsidRDefault="00B14726" w:rsidP="00B14726">
      <w:pPr>
        <w:ind w:right="-142"/>
        <w:rPr>
          <w:rFonts w:asciiTheme="majorBidi" w:hAnsiTheme="majorBidi" w:cstheme="majorBidi"/>
          <w:sz w:val="24"/>
          <w:szCs w:val="24"/>
        </w:rPr>
      </w:pPr>
      <w:r w:rsidRPr="00B14726">
        <w:rPr>
          <w:rFonts w:asciiTheme="majorBidi" w:hAnsiTheme="majorBidi" w:cstheme="majorBidi"/>
          <w:b/>
          <w:bCs/>
          <w:sz w:val="24"/>
          <w:szCs w:val="24"/>
        </w:rPr>
        <w:lastRenderedPageBreak/>
        <w:t>Abstract</w:t>
      </w:r>
      <w:r w:rsidRPr="00B14726">
        <w:rPr>
          <w:rFonts w:asciiTheme="majorBidi" w:hAnsiTheme="majorBidi" w:cstheme="majorBidi"/>
          <w:sz w:val="24"/>
          <w:szCs w:val="24"/>
        </w:rPr>
        <w:t>:</w:t>
      </w:r>
    </w:p>
    <w:p w:rsidR="00413460" w:rsidRPr="00B14726" w:rsidRDefault="00B14726" w:rsidP="00B14726">
      <w:pPr>
        <w:ind w:right="-142"/>
        <w:rPr>
          <w:rFonts w:asciiTheme="majorBidi" w:hAnsiTheme="majorBidi" w:cstheme="majorBidi"/>
          <w:sz w:val="24"/>
          <w:szCs w:val="24"/>
          <w:lang w:val="en-US"/>
        </w:rPr>
      </w:pPr>
      <w:r w:rsidRPr="00B14726">
        <w:rPr>
          <w:rFonts w:asciiTheme="majorBidi" w:hAnsiTheme="majorBidi" w:cstheme="majorBidi"/>
          <w:sz w:val="24"/>
          <w:szCs w:val="24"/>
          <w:lang w:val="en-US"/>
        </w:rPr>
        <w:t xml:space="preserve">Cryptosporidium is an obligate </w:t>
      </w:r>
      <w:proofErr w:type="spellStart"/>
      <w:r w:rsidRPr="00B14726">
        <w:rPr>
          <w:rFonts w:asciiTheme="majorBidi" w:hAnsiTheme="majorBidi" w:cstheme="majorBidi"/>
          <w:sz w:val="24"/>
          <w:szCs w:val="24"/>
          <w:lang w:val="en-US"/>
        </w:rPr>
        <w:t>intracellularbat</w:t>
      </w:r>
      <w:proofErr w:type="spellEnd"/>
      <w:r w:rsidRPr="00B14726">
        <w:rPr>
          <w:rFonts w:asciiTheme="majorBidi" w:hAnsiTheme="majorBidi" w:cstheme="majorBidi"/>
          <w:sz w:val="24"/>
          <w:szCs w:val="24"/>
          <w:lang w:val="en-US"/>
        </w:rPr>
        <w:t xml:space="preserve"> extra-</w:t>
      </w:r>
      <w:proofErr w:type="spellStart"/>
      <w:r w:rsidRPr="00B14726">
        <w:rPr>
          <w:rFonts w:asciiTheme="majorBidi" w:hAnsiTheme="majorBidi" w:cstheme="majorBidi"/>
          <w:sz w:val="24"/>
          <w:szCs w:val="24"/>
          <w:lang w:val="en-US"/>
        </w:rPr>
        <w:t>cytoplasmic</w:t>
      </w:r>
      <w:proofErr w:type="spellEnd"/>
      <w:r w:rsidRPr="00B14726">
        <w:rPr>
          <w:rFonts w:asciiTheme="majorBidi" w:hAnsiTheme="majorBidi" w:cstheme="majorBidi"/>
          <w:sz w:val="24"/>
          <w:szCs w:val="24"/>
          <w:lang w:val="en-US"/>
        </w:rPr>
        <w:t xml:space="preserve"> parasite that infects a wide range of vertebrate hosts and causes significant intestinal disease in animals and humans. The aim of this study was to detect and characterize </w:t>
      </w:r>
      <w:proofErr w:type="spellStart"/>
      <w:r w:rsidRPr="00B14726">
        <w:rPr>
          <w:rFonts w:asciiTheme="majorBidi" w:hAnsiTheme="majorBidi" w:cstheme="majorBidi"/>
          <w:sz w:val="24"/>
          <w:szCs w:val="24"/>
          <w:lang w:val="en-US"/>
        </w:rPr>
        <w:t>Cryptosporidiumspp</w:t>
      </w:r>
      <w:proofErr w:type="spellEnd"/>
      <w:r w:rsidRPr="00B14726">
        <w:rPr>
          <w:rFonts w:asciiTheme="majorBidi" w:hAnsiTheme="majorBidi" w:cstheme="majorBidi"/>
          <w:sz w:val="24"/>
          <w:szCs w:val="24"/>
          <w:lang w:val="en-US"/>
        </w:rPr>
        <w:t xml:space="preserve">. </w:t>
      </w:r>
      <w:proofErr w:type="gramStart"/>
      <w:r w:rsidRPr="00B14726">
        <w:rPr>
          <w:rFonts w:asciiTheme="majorBidi" w:hAnsiTheme="majorBidi" w:cstheme="majorBidi"/>
          <w:sz w:val="24"/>
          <w:szCs w:val="24"/>
          <w:lang w:val="en-US"/>
        </w:rPr>
        <w:t>in</w:t>
      </w:r>
      <w:proofErr w:type="gram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faecal</w:t>
      </w:r>
      <w:proofErr w:type="spellEnd"/>
      <w:r w:rsidRPr="00B14726">
        <w:rPr>
          <w:rFonts w:asciiTheme="majorBidi" w:hAnsiTheme="majorBidi" w:cstheme="majorBidi"/>
          <w:sz w:val="24"/>
          <w:szCs w:val="24"/>
          <w:lang w:val="en-US"/>
        </w:rPr>
        <w:t xml:space="preserve"> samples from naturally infected calves and lambs in Algeria. A total of 65 and 83 </w:t>
      </w:r>
      <w:proofErr w:type="spellStart"/>
      <w:r w:rsidRPr="00B14726">
        <w:rPr>
          <w:rFonts w:asciiTheme="majorBidi" w:hAnsiTheme="majorBidi" w:cstheme="majorBidi"/>
          <w:sz w:val="24"/>
          <w:szCs w:val="24"/>
          <w:lang w:val="en-US"/>
        </w:rPr>
        <w:t>faecal</w:t>
      </w:r>
      <w:proofErr w:type="spellEnd"/>
      <w:r w:rsidRPr="00B14726">
        <w:rPr>
          <w:rFonts w:asciiTheme="majorBidi" w:hAnsiTheme="majorBidi" w:cstheme="majorBidi"/>
          <w:sz w:val="24"/>
          <w:szCs w:val="24"/>
          <w:lang w:val="en-US"/>
        </w:rPr>
        <w:t xml:space="preserve"> samples from calves and lambs (less than 3 months old) were collected from 12 and 14 dairy cow and sheepfold farms respectively, in four regions across eight </w:t>
      </w:r>
      <w:proofErr w:type="spellStart"/>
      <w:r w:rsidRPr="00B14726">
        <w:rPr>
          <w:rFonts w:asciiTheme="majorBidi" w:hAnsiTheme="majorBidi" w:cstheme="majorBidi"/>
          <w:sz w:val="24"/>
          <w:szCs w:val="24"/>
          <w:lang w:val="en-US"/>
        </w:rPr>
        <w:t>wilayas</w:t>
      </w:r>
      <w:proofErr w:type="spellEnd"/>
      <w:r w:rsidRPr="00B14726">
        <w:rPr>
          <w:rFonts w:asciiTheme="majorBidi" w:hAnsiTheme="majorBidi" w:cstheme="majorBidi"/>
          <w:sz w:val="24"/>
          <w:szCs w:val="24"/>
          <w:lang w:val="en-US"/>
        </w:rPr>
        <w:t xml:space="preserve">. The presence of Cryptosporidium has been established by an </w:t>
      </w:r>
      <w:proofErr w:type="spellStart"/>
      <w:r w:rsidRPr="00B14726">
        <w:rPr>
          <w:rFonts w:asciiTheme="majorBidi" w:hAnsiTheme="majorBidi" w:cstheme="majorBidi"/>
          <w:sz w:val="24"/>
          <w:szCs w:val="24"/>
          <w:lang w:val="en-US"/>
        </w:rPr>
        <w:t>immunofluorescence</w:t>
      </w:r>
      <w:proofErr w:type="spellEnd"/>
      <w:r w:rsidRPr="00B14726">
        <w:rPr>
          <w:rFonts w:asciiTheme="majorBidi" w:hAnsiTheme="majorBidi" w:cstheme="majorBidi"/>
          <w:sz w:val="24"/>
          <w:szCs w:val="24"/>
          <w:lang w:val="en-US"/>
        </w:rPr>
        <w:t xml:space="preserve"> method (IF). Positive samples were then analyzed by PCR-18S </w:t>
      </w:r>
      <w:proofErr w:type="spellStart"/>
      <w:r w:rsidRPr="00B14726">
        <w:rPr>
          <w:rFonts w:asciiTheme="majorBidi" w:hAnsiTheme="majorBidi" w:cstheme="majorBidi"/>
          <w:sz w:val="24"/>
          <w:szCs w:val="24"/>
          <w:lang w:val="en-US"/>
        </w:rPr>
        <w:t>rRNA</w:t>
      </w:r>
      <w:proofErr w:type="spellEnd"/>
      <w:r w:rsidRPr="00B14726">
        <w:rPr>
          <w:rFonts w:asciiTheme="majorBidi" w:hAnsiTheme="majorBidi" w:cstheme="majorBidi"/>
          <w:sz w:val="24"/>
          <w:szCs w:val="24"/>
          <w:lang w:val="en-US"/>
        </w:rPr>
        <w:t xml:space="preserve"> and PCR-RFLP to determine the species present. The positive samples for Cryptosporidium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were </w:t>
      </w:r>
      <w:proofErr w:type="spellStart"/>
      <w:r w:rsidRPr="00B14726">
        <w:rPr>
          <w:rFonts w:asciiTheme="majorBidi" w:hAnsiTheme="majorBidi" w:cstheme="majorBidi"/>
          <w:sz w:val="24"/>
          <w:szCs w:val="24"/>
          <w:lang w:val="en-US"/>
        </w:rPr>
        <w:t>subtyped</w:t>
      </w:r>
      <w:proofErr w:type="spellEnd"/>
      <w:r w:rsidRPr="00B14726">
        <w:rPr>
          <w:rFonts w:asciiTheme="majorBidi" w:hAnsiTheme="majorBidi" w:cstheme="majorBidi"/>
          <w:sz w:val="24"/>
          <w:szCs w:val="24"/>
          <w:lang w:val="en-US"/>
        </w:rPr>
        <w:t xml:space="preserve"> via sequencing of the amplification products of the gp60 gene. The </w:t>
      </w:r>
      <w:proofErr w:type="spellStart"/>
      <w:r w:rsidRPr="00B14726">
        <w:rPr>
          <w:rFonts w:asciiTheme="majorBidi" w:hAnsiTheme="majorBidi" w:cstheme="majorBidi"/>
          <w:sz w:val="24"/>
          <w:szCs w:val="24"/>
          <w:lang w:val="en-US"/>
        </w:rPr>
        <w:t>immunofluorescence</w:t>
      </w:r>
      <w:proofErr w:type="spellEnd"/>
      <w:r w:rsidRPr="00B14726">
        <w:rPr>
          <w:rFonts w:asciiTheme="majorBidi" w:hAnsiTheme="majorBidi" w:cstheme="majorBidi"/>
          <w:sz w:val="24"/>
          <w:szCs w:val="24"/>
          <w:lang w:val="en-US"/>
        </w:rPr>
        <w:t xml:space="preserve"> microscopic study revealed the presence of Cryptosporidium </w:t>
      </w:r>
      <w:proofErr w:type="spellStart"/>
      <w:r w:rsidRPr="00B14726">
        <w:rPr>
          <w:rFonts w:asciiTheme="majorBidi" w:hAnsiTheme="majorBidi" w:cstheme="majorBidi"/>
          <w:sz w:val="24"/>
          <w:szCs w:val="24"/>
          <w:lang w:val="en-US"/>
        </w:rPr>
        <w:t>oocysts</w:t>
      </w:r>
      <w:proofErr w:type="spellEnd"/>
      <w:r w:rsidRPr="00B14726">
        <w:rPr>
          <w:rFonts w:asciiTheme="majorBidi" w:hAnsiTheme="majorBidi" w:cstheme="majorBidi"/>
          <w:sz w:val="24"/>
          <w:szCs w:val="24"/>
          <w:lang w:val="en-US"/>
        </w:rPr>
        <w:t xml:space="preserve"> in 40/65 (62%) and 36/83 (43%) in calves and lambs, respectively. The results of the PCR-gp60 analysis showed the presence of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C. </w:t>
      </w:r>
      <w:proofErr w:type="spellStart"/>
      <w:r w:rsidRPr="00B14726">
        <w:rPr>
          <w:rFonts w:asciiTheme="majorBidi" w:hAnsiTheme="majorBidi" w:cstheme="majorBidi"/>
          <w:sz w:val="24"/>
          <w:szCs w:val="24"/>
          <w:lang w:val="en-US"/>
        </w:rPr>
        <w:t>bovis</w:t>
      </w:r>
      <w:proofErr w:type="spellEnd"/>
      <w:r w:rsidRPr="00B14726">
        <w:rPr>
          <w:rFonts w:asciiTheme="majorBidi" w:hAnsiTheme="majorBidi" w:cstheme="majorBidi"/>
          <w:sz w:val="24"/>
          <w:szCs w:val="24"/>
          <w:lang w:val="en-US"/>
        </w:rPr>
        <w:t xml:space="preserve"> and C. </w:t>
      </w:r>
      <w:proofErr w:type="spellStart"/>
      <w:r w:rsidRPr="00B14726">
        <w:rPr>
          <w:rFonts w:asciiTheme="majorBidi" w:hAnsiTheme="majorBidi" w:cstheme="majorBidi"/>
          <w:sz w:val="24"/>
          <w:szCs w:val="24"/>
          <w:lang w:val="en-US"/>
        </w:rPr>
        <w:t>ubiquitum</w:t>
      </w:r>
      <w:proofErr w:type="spellEnd"/>
      <w:r w:rsidRPr="00B14726">
        <w:rPr>
          <w:rFonts w:asciiTheme="majorBidi" w:hAnsiTheme="majorBidi" w:cstheme="majorBidi"/>
          <w:sz w:val="24"/>
          <w:szCs w:val="24"/>
          <w:lang w:val="en-US"/>
        </w:rPr>
        <w:t xml:space="preserve">. The </w:t>
      </w:r>
      <w:proofErr w:type="spellStart"/>
      <w:r w:rsidRPr="00B14726">
        <w:rPr>
          <w:rFonts w:asciiTheme="majorBidi" w:hAnsiTheme="majorBidi" w:cstheme="majorBidi"/>
          <w:sz w:val="24"/>
          <w:szCs w:val="24"/>
          <w:lang w:val="en-US"/>
        </w:rPr>
        <w:t>subtyping</w:t>
      </w:r>
      <w:proofErr w:type="spellEnd"/>
      <w:r w:rsidRPr="00B14726">
        <w:rPr>
          <w:rFonts w:asciiTheme="majorBidi" w:hAnsiTheme="majorBidi" w:cstheme="majorBidi"/>
          <w:sz w:val="24"/>
          <w:szCs w:val="24"/>
          <w:lang w:val="en-US"/>
        </w:rPr>
        <w:t xml:space="preserve"> step for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isolates revealed two families of the genotype, </w:t>
      </w:r>
      <w:proofErr w:type="spellStart"/>
      <w:r w:rsidRPr="00B14726">
        <w:rPr>
          <w:rFonts w:asciiTheme="majorBidi" w:hAnsiTheme="majorBidi" w:cstheme="majorBidi"/>
          <w:sz w:val="24"/>
          <w:szCs w:val="24"/>
          <w:lang w:val="en-US"/>
        </w:rPr>
        <w:t>IIa</w:t>
      </w:r>
      <w:proofErr w:type="spellEnd"/>
      <w:r w:rsidRPr="00B14726">
        <w:rPr>
          <w:rFonts w:asciiTheme="majorBidi" w:hAnsiTheme="majorBidi" w:cstheme="majorBidi"/>
          <w:sz w:val="24"/>
          <w:szCs w:val="24"/>
          <w:lang w:val="en-US"/>
        </w:rPr>
        <w:t xml:space="preserve"> and </w:t>
      </w:r>
      <w:proofErr w:type="spellStart"/>
      <w:r w:rsidRPr="00B14726">
        <w:rPr>
          <w:rFonts w:asciiTheme="majorBidi" w:hAnsiTheme="majorBidi" w:cstheme="majorBidi"/>
          <w:sz w:val="24"/>
          <w:szCs w:val="24"/>
          <w:lang w:val="en-US"/>
        </w:rPr>
        <w:t>IId</w:t>
      </w:r>
      <w:proofErr w:type="spellEnd"/>
      <w:r w:rsidRPr="00B14726">
        <w:rPr>
          <w:rFonts w:asciiTheme="majorBidi" w:hAnsiTheme="majorBidi" w:cstheme="majorBidi"/>
          <w:sz w:val="24"/>
          <w:szCs w:val="24"/>
          <w:lang w:val="en-US"/>
        </w:rPr>
        <w:t xml:space="preserve">. Four subtypes have been recognized in the </w:t>
      </w:r>
      <w:proofErr w:type="spellStart"/>
      <w:r w:rsidRPr="00B14726">
        <w:rPr>
          <w:rFonts w:asciiTheme="majorBidi" w:hAnsiTheme="majorBidi" w:cstheme="majorBidi"/>
          <w:sz w:val="24"/>
          <w:szCs w:val="24"/>
          <w:lang w:val="en-US"/>
        </w:rPr>
        <w:t>IIa</w:t>
      </w:r>
      <w:proofErr w:type="spellEnd"/>
      <w:r w:rsidRPr="00B14726">
        <w:rPr>
          <w:rFonts w:asciiTheme="majorBidi" w:hAnsiTheme="majorBidi" w:cstheme="majorBidi"/>
          <w:sz w:val="24"/>
          <w:szCs w:val="24"/>
          <w:lang w:val="en-US"/>
        </w:rPr>
        <w:t xml:space="preserve"> family (IIaA15G2R1, IIaA13G2R1, IIaA16G2R1 and IIaA21G2R1). A majority subtype has been recognized in the </w:t>
      </w:r>
      <w:proofErr w:type="spellStart"/>
      <w:r w:rsidRPr="00B14726">
        <w:rPr>
          <w:rFonts w:asciiTheme="majorBidi" w:hAnsiTheme="majorBidi" w:cstheme="majorBidi"/>
          <w:sz w:val="24"/>
          <w:szCs w:val="24"/>
          <w:lang w:val="en-US"/>
        </w:rPr>
        <w:t>IId</w:t>
      </w:r>
      <w:proofErr w:type="spellEnd"/>
      <w:r w:rsidRPr="00B14726">
        <w:rPr>
          <w:rFonts w:asciiTheme="majorBidi" w:hAnsiTheme="majorBidi" w:cstheme="majorBidi"/>
          <w:sz w:val="24"/>
          <w:szCs w:val="24"/>
          <w:lang w:val="en-US"/>
        </w:rPr>
        <w:t xml:space="preserve"> family, the IIdA16G1 subtype. These results illustrate the strong presence of Cryptosporidium in ruminants and increase the diversity of isolates of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with the first description of the subtypes IIaA15G2R1 and IIdA16G1 in Algeria. The presence of families of </w:t>
      </w:r>
      <w:proofErr w:type="spellStart"/>
      <w:r w:rsidRPr="00B14726">
        <w:rPr>
          <w:rFonts w:asciiTheme="majorBidi" w:hAnsiTheme="majorBidi" w:cstheme="majorBidi"/>
          <w:sz w:val="24"/>
          <w:szCs w:val="24"/>
          <w:lang w:val="en-US"/>
        </w:rPr>
        <w:t>zoonotic</w:t>
      </w:r>
      <w:proofErr w:type="spellEnd"/>
      <w:r w:rsidRPr="00B14726">
        <w:rPr>
          <w:rFonts w:asciiTheme="majorBidi" w:hAnsiTheme="majorBidi" w:cstheme="majorBidi"/>
          <w:sz w:val="24"/>
          <w:szCs w:val="24"/>
          <w:lang w:val="en-US"/>
        </w:rPr>
        <w:t xml:space="preserve"> subtypes of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IIa</w:t>
      </w:r>
      <w:proofErr w:type="spell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IId</w:t>
      </w:r>
      <w:proofErr w:type="spellEnd"/>
      <w:r w:rsidRPr="00B14726">
        <w:rPr>
          <w:rFonts w:asciiTheme="majorBidi" w:hAnsiTheme="majorBidi" w:cstheme="majorBidi"/>
          <w:sz w:val="24"/>
          <w:szCs w:val="24"/>
          <w:lang w:val="en-US"/>
        </w:rPr>
        <w:t xml:space="preserve">) in this study suggests that ruminants probably constitute an important reservoir of </w:t>
      </w:r>
      <w:proofErr w:type="spellStart"/>
      <w:r w:rsidRPr="00B14726">
        <w:rPr>
          <w:rFonts w:asciiTheme="majorBidi" w:hAnsiTheme="majorBidi" w:cstheme="majorBidi"/>
          <w:sz w:val="24"/>
          <w:szCs w:val="24"/>
          <w:lang w:val="en-US"/>
        </w:rPr>
        <w:t>zoonotic</w:t>
      </w:r>
      <w:proofErr w:type="spellEnd"/>
      <w:r w:rsidRPr="00B14726">
        <w:rPr>
          <w:rFonts w:asciiTheme="majorBidi" w:hAnsiTheme="majorBidi" w:cstheme="majorBidi"/>
          <w:sz w:val="24"/>
          <w:szCs w:val="24"/>
          <w:lang w:val="en-US"/>
        </w:rPr>
        <w:t xml:space="preserve">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There is currently no treatment available that is completely effective against Cryptosporidiosis in humans or animals. Therefore, there is a critical need for the development of new therapeutic agents. </w:t>
      </w:r>
      <w:proofErr w:type="gramStart"/>
      <w:r w:rsidRPr="00B14726">
        <w:rPr>
          <w:rFonts w:asciiTheme="majorBidi" w:hAnsiTheme="majorBidi" w:cstheme="majorBidi"/>
          <w:sz w:val="24"/>
          <w:szCs w:val="24"/>
          <w:lang w:val="en-US"/>
        </w:rPr>
        <w:t>To study the "anti-</w:t>
      </w:r>
      <w:proofErr w:type="spellStart"/>
      <w:r w:rsidRPr="00B14726">
        <w:rPr>
          <w:rFonts w:asciiTheme="majorBidi" w:hAnsiTheme="majorBidi" w:cstheme="majorBidi"/>
          <w:sz w:val="24"/>
          <w:szCs w:val="24"/>
          <w:lang w:val="en-US"/>
        </w:rPr>
        <w:t>cryptosporidian</w:t>
      </w:r>
      <w:proofErr w:type="spellEnd"/>
      <w:r w:rsidRPr="00B14726">
        <w:rPr>
          <w:rFonts w:asciiTheme="majorBidi" w:hAnsiTheme="majorBidi" w:cstheme="majorBidi"/>
          <w:sz w:val="24"/>
          <w:szCs w:val="24"/>
          <w:lang w:val="en-US"/>
        </w:rPr>
        <w:t xml:space="preserve">" activity of two </w:t>
      </w:r>
      <w:proofErr w:type="spellStart"/>
      <w:r w:rsidRPr="00B14726">
        <w:rPr>
          <w:rFonts w:asciiTheme="majorBidi" w:hAnsiTheme="majorBidi" w:cstheme="majorBidi"/>
          <w:sz w:val="24"/>
          <w:szCs w:val="24"/>
          <w:lang w:val="en-US"/>
        </w:rPr>
        <w:t>chitosans</w:t>
      </w:r>
      <w:proofErr w:type="spell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Chitosan</w:t>
      </w:r>
      <w:proofErr w:type="spellEnd"/>
      <w:r w:rsidRPr="00B14726">
        <w:rPr>
          <w:rFonts w:asciiTheme="majorBidi" w:hAnsiTheme="majorBidi" w:cstheme="majorBidi"/>
          <w:sz w:val="24"/>
          <w:szCs w:val="24"/>
          <w:lang w:val="en-US"/>
        </w:rPr>
        <w:t xml:space="preserve"> NAG, </w:t>
      </w:r>
      <w:proofErr w:type="spellStart"/>
      <w:r w:rsidRPr="00B14726">
        <w:rPr>
          <w:rFonts w:asciiTheme="majorBidi" w:hAnsiTheme="majorBidi" w:cstheme="majorBidi"/>
          <w:sz w:val="24"/>
          <w:szCs w:val="24"/>
          <w:lang w:val="en-US"/>
        </w:rPr>
        <w:t>chitosan</w:t>
      </w:r>
      <w:proofErr w:type="spellEnd"/>
      <w:r w:rsidRPr="00B14726">
        <w:rPr>
          <w:rFonts w:asciiTheme="majorBidi" w:hAnsiTheme="majorBidi" w:cstheme="majorBidi"/>
          <w:sz w:val="24"/>
          <w:szCs w:val="24"/>
          <w:lang w:val="en-US"/>
        </w:rPr>
        <w:t xml:space="preserve"> Mix and </w:t>
      </w:r>
      <w:proofErr w:type="spellStart"/>
      <w:r w:rsidRPr="00B14726">
        <w:rPr>
          <w:rFonts w:asciiTheme="majorBidi" w:hAnsiTheme="majorBidi" w:cstheme="majorBidi"/>
          <w:sz w:val="24"/>
          <w:szCs w:val="24"/>
          <w:lang w:val="en-US"/>
        </w:rPr>
        <w:t>Paromomycin</w:t>
      </w:r>
      <w:proofErr w:type="spellEnd"/>
      <w:r w:rsidRPr="00B14726">
        <w:rPr>
          <w:rFonts w:asciiTheme="majorBidi" w:hAnsiTheme="majorBidi" w:cstheme="majorBidi"/>
          <w:sz w:val="24"/>
          <w:szCs w:val="24"/>
          <w:lang w:val="en-US"/>
        </w:rPr>
        <w:t>.</w:t>
      </w:r>
      <w:proofErr w:type="gramEnd"/>
      <w:r w:rsidRPr="00B14726">
        <w:rPr>
          <w:rFonts w:asciiTheme="majorBidi" w:hAnsiTheme="majorBidi" w:cstheme="majorBidi"/>
          <w:sz w:val="24"/>
          <w:szCs w:val="24"/>
          <w:lang w:val="en-US"/>
        </w:rPr>
        <w:t xml:space="preserve"> We studied the effects of these molecules on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of bovine and ovine isolates in two in vitro models (HCT-8 and Caco-2 lines) and in vivo, newborn CD-1 mice were inoculated by the oral with C. </w:t>
      </w:r>
      <w:proofErr w:type="spellStart"/>
      <w:r w:rsidRPr="00B14726">
        <w:rPr>
          <w:rFonts w:asciiTheme="majorBidi" w:hAnsiTheme="majorBidi" w:cstheme="majorBidi"/>
          <w:sz w:val="24"/>
          <w:szCs w:val="24"/>
          <w:lang w:val="en-US"/>
        </w:rPr>
        <w:t>parvum</w:t>
      </w:r>
      <w:proofErr w:type="spell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oocysts</w:t>
      </w:r>
      <w:proofErr w:type="spellEnd"/>
      <w:r w:rsidRPr="00B14726">
        <w:rPr>
          <w:rFonts w:asciiTheme="majorBidi" w:hAnsiTheme="majorBidi" w:cstheme="majorBidi"/>
          <w:sz w:val="24"/>
          <w:szCs w:val="24"/>
          <w:lang w:val="en-US"/>
        </w:rPr>
        <w:t xml:space="preserve"> (natural isolates), treated with the test molecules and compared with untreated infected animals. </w:t>
      </w:r>
      <w:proofErr w:type="spellStart"/>
      <w:r w:rsidRPr="00B14726">
        <w:rPr>
          <w:rFonts w:asciiTheme="majorBidi" w:hAnsiTheme="majorBidi" w:cstheme="majorBidi"/>
          <w:sz w:val="24"/>
          <w:szCs w:val="24"/>
          <w:lang w:val="en-US"/>
        </w:rPr>
        <w:t>Paromomycin</w:t>
      </w:r>
      <w:proofErr w:type="spellEnd"/>
      <w:r w:rsidRPr="00B14726">
        <w:rPr>
          <w:rFonts w:asciiTheme="majorBidi" w:hAnsiTheme="majorBidi" w:cstheme="majorBidi"/>
          <w:sz w:val="24"/>
          <w:szCs w:val="24"/>
          <w:lang w:val="en-US"/>
        </w:rPr>
        <w:t xml:space="preserve">, a classic drug used in veterinary medicine, was used as the reference compound. An infectivity test of the isolates was carried out before the evaluation of these molecules. Our results showed the considerable appearance of intracellular forms of parasites and significant reductions of these intracellular forms of Cryptosporidium </w:t>
      </w:r>
      <w:proofErr w:type="spellStart"/>
      <w:r w:rsidRPr="00B14726">
        <w:rPr>
          <w:rFonts w:asciiTheme="majorBidi" w:hAnsiTheme="majorBidi" w:cstheme="majorBidi"/>
          <w:sz w:val="24"/>
          <w:szCs w:val="24"/>
          <w:lang w:val="en-US"/>
        </w:rPr>
        <w:t>oocysts</w:t>
      </w:r>
      <w:proofErr w:type="spellEnd"/>
      <w:r w:rsidRPr="00B14726">
        <w:rPr>
          <w:rFonts w:asciiTheme="majorBidi" w:hAnsiTheme="majorBidi" w:cstheme="majorBidi"/>
          <w:sz w:val="24"/>
          <w:szCs w:val="24"/>
          <w:lang w:val="en-US"/>
        </w:rPr>
        <w:t xml:space="preserve">. In addition, </w:t>
      </w:r>
      <w:proofErr w:type="spellStart"/>
      <w:r w:rsidRPr="00B14726">
        <w:rPr>
          <w:rFonts w:asciiTheme="majorBidi" w:hAnsiTheme="majorBidi" w:cstheme="majorBidi"/>
          <w:sz w:val="24"/>
          <w:szCs w:val="24"/>
          <w:lang w:val="en-US"/>
        </w:rPr>
        <w:t>paromomycin</w:t>
      </w:r>
      <w:proofErr w:type="spellEnd"/>
      <w:r w:rsidRPr="00B14726">
        <w:rPr>
          <w:rFonts w:asciiTheme="majorBidi" w:hAnsiTheme="majorBidi" w:cstheme="majorBidi"/>
          <w:sz w:val="24"/>
          <w:szCs w:val="24"/>
          <w:lang w:val="en-US"/>
        </w:rPr>
        <w:t xml:space="preserve">, </w:t>
      </w:r>
      <w:proofErr w:type="spellStart"/>
      <w:r w:rsidRPr="00B14726">
        <w:rPr>
          <w:rFonts w:asciiTheme="majorBidi" w:hAnsiTheme="majorBidi" w:cstheme="majorBidi"/>
          <w:sz w:val="24"/>
          <w:szCs w:val="24"/>
          <w:lang w:val="en-US"/>
        </w:rPr>
        <w:t>chitosan</w:t>
      </w:r>
      <w:proofErr w:type="spellEnd"/>
      <w:r w:rsidRPr="00B14726">
        <w:rPr>
          <w:rFonts w:asciiTheme="majorBidi" w:hAnsiTheme="majorBidi" w:cstheme="majorBidi"/>
          <w:sz w:val="24"/>
          <w:szCs w:val="24"/>
          <w:lang w:val="en-US"/>
        </w:rPr>
        <w:t xml:space="preserve"> mix and </w:t>
      </w:r>
      <w:proofErr w:type="spellStart"/>
      <w:r w:rsidRPr="00B14726">
        <w:rPr>
          <w:rFonts w:asciiTheme="majorBidi" w:hAnsiTheme="majorBidi" w:cstheme="majorBidi"/>
          <w:sz w:val="24"/>
          <w:szCs w:val="24"/>
          <w:lang w:val="en-US"/>
        </w:rPr>
        <w:t>chitosan</w:t>
      </w:r>
      <w:proofErr w:type="spellEnd"/>
      <w:r w:rsidRPr="00B14726">
        <w:rPr>
          <w:rFonts w:asciiTheme="majorBidi" w:hAnsiTheme="majorBidi" w:cstheme="majorBidi"/>
          <w:sz w:val="24"/>
          <w:szCs w:val="24"/>
          <w:lang w:val="en-US"/>
        </w:rPr>
        <w:t xml:space="preserve"> NAG significantly inhibit the multiplication of the parasite in HCT-8 and Caco-2 cells (P &lt;0.05). In </w:t>
      </w:r>
      <w:proofErr w:type="spellStart"/>
      <w:r w:rsidRPr="00B14726">
        <w:rPr>
          <w:rFonts w:asciiTheme="majorBidi" w:hAnsiTheme="majorBidi" w:cstheme="majorBidi"/>
          <w:sz w:val="24"/>
          <w:szCs w:val="24"/>
          <w:lang w:val="en-US"/>
        </w:rPr>
        <w:t>in</w:t>
      </w:r>
      <w:proofErr w:type="spellEnd"/>
      <w:r w:rsidRPr="00B14726">
        <w:rPr>
          <w:rFonts w:asciiTheme="majorBidi" w:hAnsiTheme="majorBidi" w:cstheme="majorBidi"/>
          <w:sz w:val="24"/>
          <w:szCs w:val="24"/>
          <w:lang w:val="en-US"/>
        </w:rPr>
        <w:t xml:space="preserve"> vivo studies, treatment with (</w:t>
      </w:r>
      <w:proofErr w:type="spellStart"/>
      <w:r w:rsidRPr="00B14726">
        <w:rPr>
          <w:rFonts w:asciiTheme="majorBidi" w:hAnsiTheme="majorBidi" w:cstheme="majorBidi"/>
          <w:sz w:val="24"/>
          <w:szCs w:val="24"/>
          <w:lang w:val="en-US"/>
        </w:rPr>
        <w:t>Chitosans</w:t>
      </w:r>
      <w:proofErr w:type="spellEnd"/>
      <w:r w:rsidRPr="00B14726">
        <w:rPr>
          <w:rFonts w:asciiTheme="majorBidi" w:hAnsiTheme="majorBidi" w:cstheme="majorBidi"/>
          <w:sz w:val="24"/>
          <w:szCs w:val="24"/>
          <w:lang w:val="en-US"/>
        </w:rPr>
        <w:t xml:space="preserve">) or </w:t>
      </w:r>
      <w:proofErr w:type="spellStart"/>
      <w:r w:rsidRPr="00B14726">
        <w:rPr>
          <w:rFonts w:asciiTheme="majorBidi" w:hAnsiTheme="majorBidi" w:cstheme="majorBidi"/>
          <w:sz w:val="24"/>
          <w:szCs w:val="24"/>
          <w:lang w:val="en-US"/>
        </w:rPr>
        <w:t>paromomycin</w:t>
      </w:r>
      <w:proofErr w:type="spellEnd"/>
      <w:r w:rsidRPr="00B14726">
        <w:rPr>
          <w:rFonts w:asciiTheme="majorBidi" w:hAnsiTheme="majorBidi" w:cstheme="majorBidi"/>
          <w:sz w:val="24"/>
          <w:szCs w:val="24"/>
          <w:lang w:val="en-US"/>
        </w:rPr>
        <w:t xml:space="preserve"> sulfate significantly reduced parasitic shedding in treated infected newborn mice. In conclusion, these results constitute the first in vitro and in vivo evidence of the </w:t>
      </w:r>
      <w:proofErr w:type="spellStart"/>
      <w:r w:rsidRPr="00B14726">
        <w:rPr>
          <w:rFonts w:asciiTheme="majorBidi" w:hAnsiTheme="majorBidi" w:cstheme="majorBidi"/>
          <w:sz w:val="24"/>
          <w:szCs w:val="24"/>
          <w:lang w:val="en-US"/>
        </w:rPr>
        <w:t>anticryptosporidial</w:t>
      </w:r>
      <w:proofErr w:type="spellEnd"/>
      <w:r w:rsidRPr="00B14726">
        <w:rPr>
          <w:rFonts w:asciiTheme="majorBidi" w:hAnsiTheme="majorBidi" w:cstheme="majorBidi"/>
          <w:sz w:val="24"/>
          <w:szCs w:val="24"/>
          <w:lang w:val="en-US"/>
        </w:rPr>
        <w:t xml:space="preserve"> activities of these natural polysaccharides on Cryptosporidium field isolates</w:t>
      </w:r>
    </w:p>
    <w:p w:rsidR="00413460" w:rsidRPr="00B14726" w:rsidRDefault="00413460" w:rsidP="00B14726">
      <w:pPr>
        <w:tabs>
          <w:tab w:val="left" w:pos="915"/>
        </w:tabs>
        <w:ind w:right="-142"/>
        <w:rPr>
          <w:rFonts w:asciiTheme="majorBidi" w:hAnsiTheme="majorBidi" w:cstheme="majorBidi"/>
          <w:sz w:val="24"/>
          <w:szCs w:val="24"/>
          <w:lang w:val="en-US"/>
        </w:rPr>
      </w:pPr>
    </w:p>
    <w:p w:rsidR="00DF3BB5" w:rsidRPr="00413460" w:rsidRDefault="00DF3BB5" w:rsidP="00413460">
      <w:pPr>
        <w:ind w:right="-142"/>
        <w:rPr>
          <w:rFonts w:asciiTheme="majorBidi" w:hAnsiTheme="majorBidi" w:cstheme="majorBidi"/>
          <w:sz w:val="24"/>
          <w:szCs w:val="24"/>
          <w:lang w:val="en-US"/>
        </w:rPr>
      </w:pPr>
    </w:p>
    <w:sectPr w:rsidR="00DF3BB5" w:rsidRPr="0041346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4550</TotalTime>
  <Pages>2</Pages>
  <Words>1066</Words>
  <Characters>5864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175</cp:revision>
  <dcterms:created xsi:type="dcterms:W3CDTF">2020-01-20T08:03:00Z</dcterms:created>
  <dcterms:modified xsi:type="dcterms:W3CDTF">2020-09-27T09:08:00Z</dcterms:modified>
</cp:coreProperties>
</file>