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Pr="00EA07EA" w:rsidRDefault="000F5178" w:rsidP="000F5178">
      <w:pPr>
        <w:rPr>
          <w:rStyle w:val="Emphaseple"/>
        </w:rPr>
      </w:pPr>
    </w:p>
    <w:p w:rsidR="00D835D7" w:rsidRDefault="0038268C" w:rsidP="00D835D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4F2CA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mémoire</w:t>
      </w:r>
      <w:r w:rsidR="006F477D" w:rsidRPr="006F477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 </w:t>
      </w:r>
      <w:r w:rsidR="00166ED3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master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D835D7" w:rsidRPr="00D835D7">
        <w:rPr>
          <w:rFonts w:asciiTheme="majorBidi" w:hAnsiTheme="majorBidi" w:cstheme="majorBidi"/>
          <w:b/>
          <w:bCs/>
          <w:sz w:val="28"/>
          <w:szCs w:val="28"/>
        </w:rPr>
        <w:t xml:space="preserve">Les fractures du bassin et les </w:t>
      </w:r>
      <w:proofErr w:type="spellStart"/>
      <w:r w:rsidR="00D835D7" w:rsidRPr="00D835D7">
        <w:rPr>
          <w:rFonts w:asciiTheme="majorBidi" w:hAnsiTheme="majorBidi" w:cstheme="majorBidi"/>
          <w:b/>
          <w:bCs/>
          <w:sz w:val="28"/>
          <w:szCs w:val="28"/>
        </w:rPr>
        <w:t>desmorexies</w:t>
      </w:r>
      <w:proofErr w:type="spellEnd"/>
      <w:r w:rsidR="00D835D7" w:rsidRPr="00D835D7">
        <w:rPr>
          <w:rFonts w:asciiTheme="majorBidi" w:hAnsiTheme="majorBidi" w:cstheme="majorBidi"/>
          <w:b/>
          <w:bCs/>
          <w:sz w:val="28"/>
          <w:szCs w:val="28"/>
        </w:rPr>
        <w:t xml:space="preserve"> sacro-iliaques chez les carnivores domestiques : approche thérapeutique </w:t>
      </w:r>
    </w:p>
    <w:p w:rsidR="00330D36" w:rsidRPr="007C1B1D" w:rsidRDefault="003F77FB" w:rsidP="00D835D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835D7" w:rsidRPr="00D835D7" w:rsidRDefault="00D835D7" w:rsidP="00D835D7">
      <w:pPr>
        <w:ind w:right="-142"/>
        <w:rPr>
          <w:rFonts w:asciiTheme="majorBidi" w:hAnsiTheme="majorBidi" w:cstheme="majorBidi"/>
          <w:sz w:val="24"/>
          <w:szCs w:val="24"/>
        </w:rPr>
      </w:pPr>
      <w:r w:rsidRPr="00D835D7">
        <w:rPr>
          <w:rFonts w:asciiTheme="majorBidi" w:hAnsiTheme="majorBidi" w:cstheme="majorBidi"/>
          <w:sz w:val="24"/>
          <w:szCs w:val="24"/>
        </w:rPr>
        <w:t xml:space="preserve">L'objectif de cette étude rétrospective est d'évaluer les résultats du traitement conservateur proposé pour 25 chats et 17 chiens atteints de fractures du bassin et/ou de </w:t>
      </w:r>
      <w:proofErr w:type="spellStart"/>
      <w:r w:rsidRPr="00D835D7">
        <w:rPr>
          <w:rFonts w:asciiTheme="majorBidi" w:hAnsiTheme="majorBidi" w:cstheme="majorBidi"/>
          <w:sz w:val="24"/>
          <w:szCs w:val="24"/>
        </w:rPr>
        <w:t>desmorexies</w:t>
      </w:r>
      <w:proofErr w:type="spellEnd"/>
      <w:r w:rsidRPr="00D835D7">
        <w:rPr>
          <w:rFonts w:asciiTheme="majorBidi" w:hAnsiTheme="majorBidi" w:cstheme="majorBidi"/>
          <w:sz w:val="24"/>
          <w:szCs w:val="24"/>
        </w:rPr>
        <w:t xml:space="preserve"> sacro-iliaques. Dans notre étude, les lésions étaient variées, et apparaissent à des taux différents, avec une prédominance des </w:t>
      </w:r>
      <w:proofErr w:type="spellStart"/>
      <w:r w:rsidRPr="00D835D7">
        <w:rPr>
          <w:rFonts w:asciiTheme="majorBidi" w:hAnsiTheme="majorBidi" w:cstheme="majorBidi"/>
          <w:sz w:val="24"/>
          <w:szCs w:val="24"/>
        </w:rPr>
        <w:t>desmorexies</w:t>
      </w:r>
      <w:proofErr w:type="spellEnd"/>
      <w:r w:rsidRPr="00D835D7">
        <w:rPr>
          <w:rFonts w:asciiTheme="majorBidi" w:hAnsiTheme="majorBidi" w:cstheme="majorBidi"/>
          <w:sz w:val="24"/>
          <w:szCs w:val="24"/>
        </w:rPr>
        <w:t xml:space="preserve"> sacro-iliaques unilatérales (53%), associées (29%) ou non (24%) à une/des fractures du bassin et des fractures du corps de l'ilium (18%) chez le chien, des </w:t>
      </w:r>
      <w:proofErr w:type="spellStart"/>
      <w:r w:rsidRPr="00D835D7">
        <w:rPr>
          <w:rFonts w:asciiTheme="majorBidi" w:hAnsiTheme="majorBidi" w:cstheme="majorBidi"/>
          <w:sz w:val="24"/>
          <w:szCs w:val="24"/>
        </w:rPr>
        <w:t>desmorexies</w:t>
      </w:r>
      <w:proofErr w:type="spellEnd"/>
      <w:r w:rsidRPr="00D835D7">
        <w:rPr>
          <w:rFonts w:asciiTheme="majorBidi" w:hAnsiTheme="majorBidi" w:cstheme="majorBidi"/>
          <w:sz w:val="24"/>
          <w:szCs w:val="24"/>
        </w:rPr>
        <w:t xml:space="preserve"> sacro-iliaques unilatérales (56%), associées (28%) ou non (28%) à une/des fractures du bassin et des fractures du corps de l'ilium (20%) chez le chat. Un traitement conservateur a été initié chez tous les animaux. Trente quatre animaux (81%) ont fait l'objet d'une restriction d'activité pour les chiens et une </w:t>
      </w:r>
      <w:proofErr w:type="spellStart"/>
      <w:r w:rsidRPr="00D835D7">
        <w:rPr>
          <w:rFonts w:asciiTheme="majorBidi" w:hAnsiTheme="majorBidi" w:cstheme="majorBidi"/>
          <w:sz w:val="24"/>
          <w:szCs w:val="24"/>
        </w:rPr>
        <w:t>cageothérapie</w:t>
      </w:r>
      <w:proofErr w:type="spellEnd"/>
      <w:r w:rsidRPr="00D835D7">
        <w:rPr>
          <w:rFonts w:asciiTheme="majorBidi" w:hAnsiTheme="majorBidi" w:cstheme="majorBidi"/>
          <w:sz w:val="24"/>
          <w:szCs w:val="24"/>
        </w:rPr>
        <w:t xml:space="preserve"> pour les chats, pour les huit animaux restants (19%), ce traitement conservateur a été associé à une résection arthroplastie de la tête et du col du fémur. Ce traitement instauré dans notre étude a permis d'obtenir un taux de guérison satisfaisant chez les animaux dont nous avons pu contacter les propriétaires.</w:t>
      </w:r>
    </w:p>
    <w:p w:rsidR="00D835D7" w:rsidRPr="00D835D7" w:rsidRDefault="00D835D7" w:rsidP="00D835D7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D835D7" w:rsidRPr="00D835D7" w:rsidRDefault="00D835D7" w:rsidP="00D835D7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D835D7" w:rsidRPr="00D835D7" w:rsidRDefault="00D835D7" w:rsidP="00D835D7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D835D7" w:rsidRPr="00D835D7" w:rsidRDefault="00D835D7" w:rsidP="00D835D7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D835D7" w:rsidRPr="00D835D7" w:rsidRDefault="00D835D7" w:rsidP="00D835D7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D835D7" w:rsidRPr="00D835D7" w:rsidRDefault="00D835D7" w:rsidP="00D835D7">
      <w:pPr>
        <w:ind w:right="-142"/>
        <w:rPr>
          <w:rFonts w:asciiTheme="majorBidi" w:hAnsiTheme="majorBidi" w:cstheme="majorBidi"/>
          <w:sz w:val="24"/>
          <w:szCs w:val="24"/>
        </w:rPr>
      </w:pPr>
      <w:r w:rsidRPr="00D835D7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D835D7">
        <w:rPr>
          <w:rFonts w:asciiTheme="majorBidi" w:hAnsiTheme="majorBidi" w:cstheme="majorBidi"/>
          <w:sz w:val="24"/>
          <w:szCs w:val="24"/>
        </w:rPr>
        <w:t>:</w:t>
      </w:r>
    </w:p>
    <w:p w:rsidR="00DF3BB5" w:rsidRPr="00D835D7" w:rsidRDefault="00D835D7" w:rsidP="00D835D7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D835D7">
        <w:rPr>
          <w:rFonts w:asciiTheme="majorBidi" w:hAnsiTheme="majorBidi" w:cstheme="majorBidi"/>
          <w:sz w:val="24"/>
          <w:szCs w:val="24"/>
          <w:lang w:val="en-US"/>
        </w:rPr>
        <w:t xml:space="preserve">The objective of this retrospective study is to evaluate the results of proposed treatments for 25 cats and 17 dogs with pelvic fractures and/or sacroiliac </w:t>
      </w:r>
      <w:proofErr w:type="spellStart"/>
      <w:r w:rsidRPr="00D835D7">
        <w:rPr>
          <w:rFonts w:asciiTheme="majorBidi" w:hAnsiTheme="majorBidi" w:cstheme="majorBidi"/>
          <w:sz w:val="24"/>
          <w:szCs w:val="24"/>
          <w:lang w:val="en-US"/>
        </w:rPr>
        <w:t>luxation</w:t>
      </w:r>
      <w:proofErr w:type="spellEnd"/>
      <w:r w:rsidRPr="00D835D7">
        <w:rPr>
          <w:rFonts w:asciiTheme="majorBidi" w:hAnsiTheme="majorBidi" w:cstheme="majorBidi"/>
          <w:sz w:val="24"/>
          <w:szCs w:val="24"/>
          <w:lang w:val="en-US"/>
        </w:rPr>
        <w:t xml:space="preserve">. In our study, the lesions were varied, the </w:t>
      </w:r>
      <w:proofErr w:type="spellStart"/>
      <w:r w:rsidRPr="00D835D7">
        <w:rPr>
          <w:rFonts w:asciiTheme="majorBidi" w:hAnsiTheme="majorBidi" w:cstheme="majorBidi"/>
          <w:sz w:val="24"/>
          <w:szCs w:val="24"/>
          <w:lang w:val="en-US"/>
        </w:rPr>
        <w:t>sacro</w:t>
      </w:r>
      <w:proofErr w:type="spellEnd"/>
      <w:r w:rsidRPr="00D835D7">
        <w:rPr>
          <w:rFonts w:asciiTheme="majorBidi" w:hAnsiTheme="majorBidi" w:cstheme="majorBidi"/>
          <w:sz w:val="24"/>
          <w:szCs w:val="24"/>
          <w:lang w:val="en-US"/>
        </w:rPr>
        <w:t xml:space="preserve">-iliac </w:t>
      </w:r>
      <w:proofErr w:type="spellStart"/>
      <w:r w:rsidRPr="00D835D7">
        <w:rPr>
          <w:rFonts w:asciiTheme="majorBidi" w:hAnsiTheme="majorBidi" w:cstheme="majorBidi"/>
          <w:sz w:val="24"/>
          <w:szCs w:val="24"/>
          <w:lang w:val="en-US"/>
        </w:rPr>
        <w:t>luxation</w:t>
      </w:r>
      <w:proofErr w:type="spellEnd"/>
      <w:r w:rsidRPr="00D835D7">
        <w:rPr>
          <w:rFonts w:asciiTheme="majorBidi" w:hAnsiTheme="majorBidi" w:cstheme="majorBidi"/>
          <w:sz w:val="24"/>
          <w:szCs w:val="24"/>
          <w:lang w:val="en-US"/>
        </w:rPr>
        <w:t xml:space="preserve"> (53%) alone (24%) or associated with pelvic fractures (29%) appeared, and fractures of the body of </w:t>
      </w:r>
      <w:proofErr w:type="spellStart"/>
      <w:r w:rsidRPr="00D835D7">
        <w:rPr>
          <w:rFonts w:asciiTheme="majorBidi" w:hAnsiTheme="majorBidi" w:cstheme="majorBidi"/>
          <w:sz w:val="24"/>
          <w:szCs w:val="24"/>
          <w:lang w:val="en-US"/>
        </w:rPr>
        <w:t>ilium</w:t>
      </w:r>
      <w:proofErr w:type="spellEnd"/>
      <w:r w:rsidRPr="00D835D7">
        <w:rPr>
          <w:rFonts w:asciiTheme="majorBidi" w:hAnsiTheme="majorBidi" w:cstheme="majorBidi"/>
          <w:sz w:val="24"/>
          <w:szCs w:val="24"/>
          <w:lang w:val="en-US"/>
        </w:rPr>
        <w:t xml:space="preserve"> (18%) in dogs, single unilateral sacroiliac </w:t>
      </w:r>
      <w:proofErr w:type="spellStart"/>
      <w:r w:rsidRPr="00D835D7">
        <w:rPr>
          <w:rFonts w:asciiTheme="majorBidi" w:hAnsiTheme="majorBidi" w:cstheme="majorBidi"/>
          <w:sz w:val="24"/>
          <w:szCs w:val="24"/>
          <w:lang w:val="en-US"/>
        </w:rPr>
        <w:t>luxation</w:t>
      </w:r>
      <w:proofErr w:type="spellEnd"/>
      <w:r w:rsidRPr="00D835D7">
        <w:rPr>
          <w:rFonts w:asciiTheme="majorBidi" w:hAnsiTheme="majorBidi" w:cstheme="majorBidi"/>
          <w:sz w:val="24"/>
          <w:szCs w:val="24"/>
          <w:lang w:val="en-US"/>
        </w:rPr>
        <w:t xml:space="preserve"> (56%), alone (28%) or associated with pelvic fractures (28%) and fractures of the body were found </w:t>
      </w:r>
      <w:proofErr w:type="spellStart"/>
      <w:r w:rsidRPr="00D835D7">
        <w:rPr>
          <w:rFonts w:asciiTheme="majorBidi" w:hAnsiTheme="majorBidi" w:cstheme="majorBidi"/>
          <w:sz w:val="24"/>
          <w:szCs w:val="24"/>
          <w:lang w:val="en-US"/>
        </w:rPr>
        <w:t>ilium</w:t>
      </w:r>
      <w:proofErr w:type="spellEnd"/>
      <w:r w:rsidRPr="00D835D7">
        <w:rPr>
          <w:rFonts w:asciiTheme="majorBidi" w:hAnsiTheme="majorBidi" w:cstheme="majorBidi"/>
          <w:sz w:val="24"/>
          <w:szCs w:val="24"/>
          <w:lang w:val="en-US"/>
        </w:rPr>
        <w:t xml:space="preserve"> (20%) in cats. Conservative therapy has been initiated in all animals. Thirty four animals (81%) were subject to activity restriction for dogs and cage therapy for cats, for the remaining eight animals (19%), this conservative treatment was associated with resection </w:t>
      </w:r>
      <w:proofErr w:type="spellStart"/>
      <w:r w:rsidRPr="00D835D7">
        <w:rPr>
          <w:rFonts w:asciiTheme="majorBidi" w:hAnsiTheme="majorBidi" w:cstheme="majorBidi"/>
          <w:sz w:val="24"/>
          <w:szCs w:val="24"/>
          <w:lang w:val="en-US"/>
        </w:rPr>
        <w:t>arthroplasty</w:t>
      </w:r>
      <w:proofErr w:type="spellEnd"/>
      <w:r w:rsidRPr="00D835D7">
        <w:rPr>
          <w:rFonts w:asciiTheme="majorBidi" w:hAnsiTheme="majorBidi" w:cstheme="majorBidi"/>
          <w:sz w:val="24"/>
          <w:szCs w:val="24"/>
          <w:lang w:val="en-US"/>
        </w:rPr>
        <w:t xml:space="preserve"> of head and neck of the femur. This treatment introduced in our study made it possible to obtain a satisfactory cure rate in the animals whose owners we were able to contact</w:t>
      </w:r>
    </w:p>
    <w:sectPr w:rsidR="00DF3BB5" w:rsidRPr="00D835D7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E5F1F"/>
    <w:rsid w:val="002F0916"/>
    <w:rsid w:val="002F4A01"/>
    <w:rsid w:val="00315018"/>
    <w:rsid w:val="00330D36"/>
    <w:rsid w:val="00334228"/>
    <w:rsid w:val="00334F11"/>
    <w:rsid w:val="00341894"/>
    <w:rsid w:val="00347B05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507FD"/>
    <w:rsid w:val="00551D1B"/>
    <w:rsid w:val="00552825"/>
    <w:rsid w:val="00555A86"/>
    <w:rsid w:val="00556AA8"/>
    <w:rsid w:val="00556C67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5D1D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4699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207</cp:revision>
  <dcterms:created xsi:type="dcterms:W3CDTF">2020-01-20T08:03:00Z</dcterms:created>
  <dcterms:modified xsi:type="dcterms:W3CDTF">2020-10-12T07:44:00Z</dcterms:modified>
</cp:coreProperties>
</file>