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C97029" w:rsidRDefault="0038268C" w:rsidP="00C9702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4F2CA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mémoire</w:t>
      </w:r>
      <w:r w:rsidR="006F477D" w:rsidRPr="006F477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</w:t>
      </w:r>
      <w:r w:rsidR="00166ED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C97029" w:rsidRPr="00C97029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l’étude de la </w:t>
      </w:r>
      <w:proofErr w:type="spellStart"/>
      <w:r w:rsidR="00C97029" w:rsidRPr="00C97029">
        <w:rPr>
          <w:rFonts w:asciiTheme="majorBidi" w:hAnsiTheme="majorBidi" w:cstheme="majorBidi"/>
          <w:b/>
          <w:bCs/>
          <w:sz w:val="28"/>
          <w:szCs w:val="28"/>
        </w:rPr>
        <w:t>phytochimie</w:t>
      </w:r>
      <w:proofErr w:type="spellEnd"/>
      <w:r w:rsidR="00C97029" w:rsidRPr="00C97029">
        <w:rPr>
          <w:rFonts w:asciiTheme="majorBidi" w:hAnsiTheme="majorBidi" w:cstheme="majorBidi"/>
          <w:b/>
          <w:bCs/>
          <w:sz w:val="28"/>
          <w:szCs w:val="28"/>
        </w:rPr>
        <w:t xml:space="preserve"> et de l’activité </w:t>
      </w:r>
      <w:proofErr w:type="spellStart"/>
      <w:r w:rsidR="00C97029" w:rsidRPr="00C97029">
        <w:rPr>
          <w:rFonts w:asciiTheme="majorBidi" w:hAnsiTheme="majorBidi" w:cstheme="majorBidi"/>
          <w:b/>
          <w:bCs/>
          <w:sz w:val="28"/>
          <w:szCs w:val="28"/>
        </w:rPr>
        <w:t>antiinflammatoire</w:t>
      </w:r>
      <w:proofErr w:type="spellEnd"/>
      <w:r w:rsidR="00C97029" w:rsidRPr="00C97029">
        <w:rPr>
          <w:rFonts w:asciiTheme="majorBidi" w:hAnsiTheme="majorBidi" w:cstheme="majorBidi"/>
          <w:b/>
          <w:bCs/>
          <w:sz w:val="28"/>
          <w:szCs w:val="28"/>
        </w:rPr>
        <w:t xml:space="preserve"> de l’extrait aqueux et de l’huile essentielle d’</w:t>
      </w:r>
      <w:proofErr w:type="spellStart"/>
      <w:r w:rsidR="00C97029" w:rsidRPr="00C97029">
        <w:rPr>
          <w:rFonts w:asciiTheme="majorBidi" w:hAnsiTheme="majorBidi" w:cstheme="majorBidi"/>
          <w:b/>
          <w:bCs/>
          <w:sz w:val="28"/>
          <w:szCs w:val="28"/>
        </w:rPr>
        <w:t>origanum</w:t>
      </w:r>
      <w:proofErr w:type="spellEnd"/>
      <w:r w:rsidR="00C97029" w:rsidRPr="00C970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97029" w:rsidRPr="00C97029">
        <w:rPr>
          <w:rFonts w:asciiTheme="majorBidi" w:hAnsiTheme="majorBidi" w:cstheme="majorBidi"/>
          <w:b/>
          <w:bCs/>
          <w:sz w:val="28"/>
          <w:szCs w:val="28"/>
        </w:rPr>
        <w:t>glandulosum</w:t>
      </w:r>
      <w:proofErr w:type="spellEnd"/>
      <w:r w:rsidR="00C97029" w:rsidRPr="00C970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30D36" w:rsidRPr="007C1B1D" w:rsidRDefault="003F77FB" w:rsidP="00C9702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C97029" w:rsidRPr="00C97029" w:rsidRDefault="00C97029" w:rsidP="00C97029">
      <w:pPr>
        <w:ind w:right="-142"/>
        <w:rPr>
          <w:rFonts w:asciiTheme="majorBidi" w:hAnsiTheme="majorBidi" w:cstheme="majorBidi"/>
          <w:sz w:val="24"/>
          <w:szCs w:val="24"/>
        </w:rPr>
      </w:pPr>
      <w:r w:rsidRPr="00C97029">
        <w:rPr>
          <w:rFonts w:asciiTheme="majorBidi" w:hAnsiTheme="majorBidi" w:cstheme="majorBidi"/>
          <w:sz w:val="24"/>
          <w:szCs w:val="24"/>
        </w:rPr>
        <w:t xml:space="preserve">Ce travail est basé sur l'étude </w:t>
      </w:r>
      <w:proofErr w:type="spellStart"/>
      <w:r w:rsidRPr="00C97029">
        <w:rPr>
          <w:rFonts w:asciiTheme="majorBidi" w:hAnsiTheme="majorBidi" w:cstheme="majorBidi"/>
          <w:sz w:val="24"/>
          <w:szCs w:val="24"/>
        </w:rPr>
        <w:t>phytochimique</w:t>
      </w:r>
      <w:proofErr w:type="spellEnd"/>
      <w:r w:rsidRPr="00C97029">
        <w:rPr>
          <w:rFonts w:asciiTheme="majorBidi" w:hAnsiTheme="majorBidi" w:cstheme="majorBidi"/>
          <w:sz w:val="24"/>
          <w:szCs w:val="24"/>
        </w:rPr>
        <w:t xml:space="preserve"> et l'évaluation de l’activité anti-inflammatoire d’</w:t>
      </w:r>
      <w:proofErr w:type="spellStart"/>
      <w:r w:rsidRPr="00C97029">
        <w:rPr>
          <w:rFonts w:asciiTheme="majorBidi" w:hAnsiTheme="majorBidi" w:cstheme="majorBidi"/>
          <w:sz w:val="24"/>
          <w:szCs w:val="24"/>
        </w:rPr>
        <w:t>Origanum</w:t>
      </w:r>
      <w:proofErr w:type="spellEnd"/>
      <w:r w:rsidRPr="00C970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7029">
        <w:rPr>
          <w:rFonts w:asciiTheme="majorBidi" w:hAnsiTheme="majorBidi" w:cstheme="majorBidi"/>
          <w:sz w:val="24"/>
          <w:szCs w:val="24"/>
        </w:rPr>
        <w:t>glandulosum</w:t>
      </w:r>
      <w:proofErr w:type="spellEnd"/>
      <w:r w:rsidRPr="00C97029">
        <w:rPr>
          <w:rFonts w:asciiTheme="majorBidi" w:hAnsiTheme="majorBidi" w:cstheme="majorBidi"/>
          <w:sz w:val="24"/>
          <w:szCs w:val="24"/>
        </w:rPr>
        <w:t xml:space="preserve"> ; une plante endémique de la famille des lamiacées située au Nord Est Algérien, Le screening </w:t>
      </w:r>
      <w:proofErr w:type="spellStart"/>
      <w:r w:rsidRPr="00C97029">
        <w:rPr>
          <w:rFonts w:asciiTheme="majorBidi" w:hAnsiTheme="majorBidi" w:cstheme="majorBidi"/>
          <w:sz w:val="24"/>
          <w:szCs w:val="24"/>
        </w:rPr>
        <w:t>phytochimique</w:t>
      </w:r>
      <w:proofErr w:type="spellEnd"/>
      <w:r w:rsidRPr="00C97029">
        <w:rPr>
          <w:rFonts w:asciiTheme="majorBidi" w:hAnsiTheme="majorBidi" w:cstheme="majorBidi"/>
          <w:sz w:val="24"/>
          <w:szCs w:val="24"/>
        </w:rPr>
        <w:t xml:space="preserve"> révèle la présence des </w:t>
      </w:r>
      <w:proofErr w:type="spellStart"/>
      <w:r w:rsidRPr="00C97029">
        <w:rPr>
          <w:rFonts w:asciiTheme="majorBidi" w:hAnsiTheme="majorBidi" w:cstheme="majorBidi"/>
          <w:sz w:val="24"/>
          <w:szCs w:val="24"/>
        </w:rPr>
        <w:t>polyphénols</w:t>
      </w:r>
      <w:proofErr w:type="spellEnd"/>
      <w:r w:rsidRPr="00C97029">
        <w:rPr>
          <w:rFonts w:asciiTheme="majorBidi" w:hAnsiTheme="majorBidi" w:cstheme="majorBidi"/>
          <w:sz w:val="24"/>
          <w:szCs w:val="24"/>
        </w:rPr>
        <w:t xml:space="preserve">, des flavonoïdes, des tanins galliques et des </w:t>
      </w:r>
      <w:proofErr w:type="spellStart"/>
      <w:r w:rsidRPr="00C97029">
        <w:rPr>
          <w:rFonts w:asciiTheme="majorBidi" w:hAnsiTheme="majorBidi" w:cstheme="majorBidi"/>
          <w:sz w:val="24"/>
          <w:szCs w:val="24"/>
        </w:rPr>
        <w:t>saponosides</w:t>
      </w:r>
      <w:proofErr w:type="spellEnd"/>
      <w:r w:rsidRPr="00C97029">
        <w:rPr>
          <w:rFonts w:asciiTheme="majorBidi" w:hAnsiTheme="majorBidi" w:cstheme="majorBidi"/>
          <w:sz w:val="24"/>
          <w:szCs w:val="24"/>
        </w:rPr>
        <w:t xml:space="preserve">. Aux doses testées de 200mg/kg et 300 mg/kg, l’huile essentielle et l’extrait aqueux n’ont pas entrainé de réduction du % d’inhibition au cours de l’activité anti-inflammatoire de l’œdème plantaire à la </w:t>
      </w:r>
      <w:proofErr w:type="spellStart"/>
      <w:r w:rsidRPr="00C97029">
        <w:rPr>
          <w:rFonts w:asciiTheme="majorBidi" w:hAnsiTheme="majorBidi" w:cstheme="majorBidi"/>
          <w:sz w:val="24"/>
          <w:szCs w:val="24"/>
        </w:rPr>
        <w:t>caragéenine</w:t>
      </w:r>
      <w:proofErr w:type="spellEnd"/>
      <w:r w:rsidRPr="00C97029">
        <w:rPr>
          <w:rFonts w:asciiTheme="majorBidi" w:hAnsiTheme="majorBidi" w:cstheme="majorBidi"/>
          <w:sz w:val="24"/>
          <w:szCs w:val="24"/>
        </w:rPr>
        <w:t>, suggérant ainsi de tester d’autres doses thérapeutiques</w:t>
      </w:r>
    </w:p>
    <w:p w:rsidR="00C97029" w:rsidRPr="00C97029" w:rsidRDefault="00C97029" w:rsidP="00C97029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C97029" w:rsidRPr="00C97029" w:rsidRDefault="00C97029" w:rsidP="00C97029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C97029" w:rsidRPr="00C97029" w:rsidRDefault="00C97029" w:rsidP="00C97029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C97029" w:rsidRPr="00C97029" w:rsidRDefault="00C97029" w:rsidP="00C97029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C97029" w:rsidRPr="00C97029" w:rsidRDefault="00C97029" w:rsidP="00C97029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C97029" w:rsidRPr="00C97029" w:rsidRDefault="00C97029" w:rsidP="00C97029">
      <w:pPr>
        <w:ind w:right="-142"/>
        <w:rPr>
          <w:rFonts w:asciiTheme="majorBidi" w:hAnsiTheme="majorBidi" w:cstheme="majorBidi"/>
          <w:sz w:val="24"/>
          <w:szCs w:val="24"/>
        </w:rPr>
      </w:pPr>
      <w:r w:rsidRPr="00C97029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C97029">
        <w:rPr>
          <w:rFonts w:asciiTheme="majorBidi" w:hAnsiTheme="majorBidi" w:cstheme="majorBidi"/>
          <w:sz w:val="24"/>
          <w:szCs w:val="24"/>
        </w:rPr>
        <w:t>:</w:t>
      </w:r>
    </w:p>
    <w:p w:rsidR="00DF3BB5" w:rsidRPr="00C97029" w:rsidRDefault="00C97029" w:rsidP="00C97029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C97029">
        <w:rPr>
          <w:rFonts w:asciiTheme="majorBidi" w:hAnsiTheme="majorBidi" w:cstheme="majorBidi"/>
          <w:sz w:val="24"/>
          <w:szCs w:val="24"/>
          <w:lang w:val="en-US"/>
        </w:rPr>
        <w:t xml:space="preserve">This study is based on a </w:t>
      </w:r>
      <w:proofErr w:type="spellStart"/>
      <w:r w:rsidRPr="00C97029">
        <w:rPr>
          <w:rFonts w:asciiTheme="majorBidi" w:hAnsiTheme="majorBidi" w:cstheme="majorBidi"/>
          <w:sz w:val="24"/>
          <w:szCs w:val="24"/>
          <w:lang w:val="en-US"/>
        </w:rPr>
        <w:t>phytochemical</w:t>
      </w:r>
      <w:proofErr w:type="spellEnd"/>
      <w:r w:rsidRPr="00C97029">
        <w:rPr>
          <w:rFonts w:asciiTheme="majorBidi" w:hAnsiTheme="majorBidi" w:cstheme="majorBidi"/>
          <w:sz w:val="24"/>
          <w:szCs w:val="24"/>
          <w:lang w:val="en-US"/>
        </w:rPr>
        <w:t xml:space="preserve"> study and the evaluation of the anti-inflammatory activity of </w:t>
      </w:r>
      <w:proofErr w:type="spellStart"/>
      <w:r w:rsidRPr="00C97029">
        <w:rPr>
          <w:rFonts w:asciiTheme="majorBidi" w:hAnsiTheme="majorBidi" w:cstheme="majorBidi"/>
          <w:sz w:val="24"/>
          <w:szCs w:val="24"/>
          <w:lang w:val="en-US"/>
        </w:rPr>
        <w:t>Origanum</w:t>
      </w:r>
      <w:proofErr w:type="spellEnd"/>
      <w:r w:rsidRPr="00C970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97029">
        <w:rPr>
          <w:rFonts w:asciiTheme="majorBidi" w:hAnsiTheme="majorBidi" w:cstheme="majorBidi"/>
          <w:sz w:val="24"/>
          <w:szCs w:val="24"/>
          <w:lang w:val="en-US"/>
        </w:rPr>
        <w:t>glandulosum</w:t>
      </w:r>
      <w:proofErr w:type="spellEnd"/>
      <w:r w:rsidRPr="00C97029">
        <w:rPr>
          <w:rFonts w:asciiTheme="majorBidi" w:hAnsiTheme="majorBidi" w:cstheme="majorBidi"/>
          <w:sz w:val="24"/>
          <w:szCs w:val="24"/>
          <w:lang w:val="en-US"/>
        </w:rPr>
        <w:t xml:space="preserve">; an endemic plant from the </w:t>
      </w:r>
      <w:proofErr w:type="spellStart"/>
      <w:r w:rsidRPr="00C97029">
        <w:rPr>
          <w:rFonts w:asciiTheme="majorBidi" w:hAnsiTheme="majorBidi" w:cstheme="majorBidi"/>
          <w:sz w:val="24"/>
          <w:szCs w:val="24"/>
          <w:lang w:val="en-US"/>
        </w:rPr>
        <w:t>lamiaceae</w:t>
      </w:r>
      <w:proofErr w:type="spellEnd"/>
      <w:r w:rsidRPr="00C97029">
        <w:rPr>
          <w:rFonts w:asciiTheme="majorBidi" w:hAnsiTheme="majorBidi" w:cstheme="majorBidi"/>
          <w:sz w:val="24"/>
          <w:szCs w:val="24"/>
          <w:lang w:val="en-US"/>
        </w:rPr>
        <w:t xml:space="preserve"> family located in northeast Algeria, </w:t>
      </w:r>
      <w:proofErr w:type="spellStart"/>
      <w:r w:rsidRPr="00C97029">
        <w:rPr>
          <w:rFonts w:asciiTheme="majorBidi" w:hAnsiTheme="majorBidi" w:cstheme="majorBidi"/>
          <w:sz w:val="24"/>
          <w:szCs w:val="24"/>
          <w:lang w:val="en-US"/>
        </w:rPr>
        <w:t>phytochemical</w:t>
      </w:r>
      <w:proofErr w:type="spellEnd"/>
      <w:r w:rsidRPr="00C97029">
        <w:rPr>
          <w:rFonts w:asciiTheme="majorBidi" w:hAnsiTheme="majorBidi" w:cstheme="majorBidi"/>
          <w:sz w:val="24"/>
          <w:szCs w:val="24"/>
          <w:lang w:val="en-US"/>
        </w:rPr>
        <w:t xml:space="preserve"> screening reveals the presence of </w:t>
      </w:r>
      <w:proofErr w:type="spellStart"/>
      <w:r w:rsidRPr="00C97029">
        <w:rPr>
          <w:rFonts w:asciiTheme="majorBidi" w:hAnsiTheme="majorBidi" w:cstheme="majorBidi"/>
          <w:sz w:val="24"/>
          <w:szCs w:val="24"/>
          <w:lang w:val="en-US"/>
        </w:rPr>
        <w:t>polyphenols</w:t>
      </w:r>
      <w:proofErr w:type="spellEnd"/>
      <w:r w:rsidRPr="00C9702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97029">
        <w:rPr>
          <w:rFonts w:asciiTheme="majorBidi" w:hAnsiTheme="majorBidi" w:cstheme="majorBidi"/>
          <w:sz w:val="24"/>
          <w:szCs w:val="24"/>
          <w:lang w:val="en-US"/>
        </w:rPr>
        <w:t>flavonoids</w:t>
      </w:r>
      <w:proofErr w:type="spellEnd"/>
      <w:r w:rsidRPr="00C9702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 w:rsidRPr="00C97029">
        <w:rPr>
          <w:rFonts w:asciiTheme="majorBidi" w:hAnsiTheme="majorBidi" w:cstheme="majorBidi"/>
          <w:sz w:val="24"/>
          <w:szCs w:val="24"/>
          <w:lang w:val="en-US"/>
        </w:rPr>
        <w:t>gallic</w:t>
      </w:r>
      <w:proofErr w:type="spellEnd"/>
      <w:proofErr w:type="gramEnd"/>
      <w:r w:rsidRPr="00C97029">
        <w:rPr>
          <w:rFonts w:asciiTheme="majorBidi" w:hAnsiTheme="majorBidi" w:cstheme="majorBidi"/>
          <w:sz w:val="24"/>
          <w:szCs w:val="24"/>
          <w:lang w:val="en-US"/>
        </w:rPr>
        <w:t xml:space="preserve"> tannins and </w:t>
      </w:r>
      <w:proofErr w:type="spellStart"/>
      <w:r w:rsidRPr="00C97029">
        <w:rPr>
          <w:rFonts w:asciiTheme="majorBidi" w:hAnsiTheme="majorBidi" w:cstheme="majorBidi"/>
          <w:sz w:val="24"/>
          <w:szCs w:val="24"/>
          <w:lang w:val="en-US"/>
        </w:rPr>
        <w:t>saponosides</w:t>
      </w:r>
      <w:proofErr w:type="spellEnd"/>
      <w:r w:rsidRPr="00C97029">
        <w:rPr>
          <w:rFonts w:asciiTheme="majorBidi" w:hAnsiTheme="majorBidi" w:cstheme="majorBidi"/>
          <w:sz w:val="24"/>
          <w:szCs w:val="24"/>
          <w:lang w:val="en-US"/>
        </w:rPr>
        <w:t xml:space="preserve">. At the tested doses of 200 mg / kg and 300 mg / kg, the essential oil and the aqueous extract did not lead to reduction of the% inhibition during the anti-inflammatory activity of plantar edema at the </w:t>
      </w:r>
      <w:proofErr w:type="spellStart"/>
      <w:r w:rsidRPr="00C97029">
        <w:rPr>
          <w:rFonts w:asciiTheme="majorBidi" w:hAnsiTheme="majorBidi" w:cstheme="majorBidi"/>
          <w:sz w:val="24"/>
          <w:szCs w:val="24"/>
          <w:lang w:val="en-US"/>
        </w:rPr>
        <w:t>carrageenan</w:t>
      </w:r>
      <w:proofErr w:type="spellEnd"/>
      <w:r w:rsidRPr="00C97029">
        <w:rPr>
          <w:rFonts w:asciiTheme="majorBidi" w:hAnsiTheme="majorBidi" w:cstheme="majorBidi"/>
          <w:sz w:val="24"/>
          <w:szCs w:val="24"/>
          <w:lang w:val="en-US"/>
        </w:rPr>
        <w:t>, thus suggesting testing other therapeutic doses</w:t>
      </w:r>
    </w:p>
    <w:sectPr w:rsidR="00DF3BB5" w:rsidRPr="00C97029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208</cp:revision>
  <dcterms:created xsi:type="dcterms:W3CDTF">2020-01-20T08:03:00Z</dcterms:created>
  <dcterms:modified xsi:type="dcterms:W3CDTF">2020-10-12T09:23:00Z</dcterms:modified>
</cp:coreProperties>
</file>