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C035B0" w:rsidRDefault="0038268C" w:rsidP="00C035B0">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035B0" w:rsidRPr="00C035B0">
        <w:rPr>
          <w:rFonts w:asciiTheme="majorBidi" w:hAnsiTheme="majorBidi" w:cstheme="majorBidi"/>
          <w:b/>
          <w:bCs/>
          <w:color w:val="000000"/>
          <w:sz w:val="28"/>
          <w:szCs w:val="28"/>
        </w:rPr>
        <w:t>Maîtrise du cycle sexuel chez les vaches laitières en vue de l'insémination artificielle</w:t>
      </w:r>
    </w:p>
    <w:p w:rsidR="00954BE0" w:rsidRPr="007D1EA5" w:rsidRDefault="00954BE0" w:rsidP="00C035B0">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C035B0" w:rsidRPr="00C035B0" w:rsidRDefault="00C035B0" w:rsidP="00C035B0">
      <w:pPr>
        <w:tabs>
          <w:tab w:val="left" w:pos="1410"/>
        </w:tabs>
        <w:autoSpaceDE w:val="0"/>
        <w:autoSpaceDN w:val="0"/>
        <w:adjustRightInd w:val="0"/>
        <w:rPr>
          <w:rFonts w:asciiTheme="majorBidi" w:hAnsiTheme="majorBidi" w:cstheme="majorBidi"/>
          <w:sz w:val="24"/>
          <w:szCs w:val="24"/>
        </w:rPr>
      </w:pPr>
      <w:r w:rsidRPr="00C035B0">
        <w:rPr>
          <w:rFonts w:asciiTheme="majorBidi" w:hAnsiTheme="majorBidi" w:cstheme="majorBidi"/>
          <w:sz w:val="24"/>
          <w:szCs w:val="24"/>
        </w:rPr>
        <w:t>Trois types de traitement hormonaux permettent de synchroniser les chaleurs chez les bovins. Les traitements à base de prostaglandine F2alpha ou de ses analogues (2 injection à 11-14 jours d’intervalle)</w:t>
      </w:r>
      <w:proofErr w:type="gramStart"/>
      <w:r w:rsidRPr="00C035B0">
        <w:rPr>
          <w:rFonts w:asciiTheme="majorBidi" w:hAnsiTheme="majorBidi" w:cstheme="majorBidi"/>
          <w:sz w:val="24"/>
          <w:szCs w:val="24"/>
        </w:rPr>
        <w:t>,les</w:t>
      </w:r>
      <w:proofErr w:type="gramEnd"/>
      <w:r w:rsidRPr="00C035B0">
        <w:rPr>
          <w:rFonts w:asciiTheme="majorBidi" w:hAnsiTheme="majorBidi" w:cstheme="majorBidi"/>
          <w:sz w:val="24"/>
          <w:szCs w:val="24"/>
        </w:rPr>
        <w:t xml:space="preserve"> traitements associant </w:t>
      </w:r>
      <w:proofErr w:type="spellStart"/>
      <w:r w:rsidRPr="00C035B0">
        <w:rPr>
          <w:rFonts w:asciiTheme="majorBidi" w:hAnsiTheme="majorBidi" w:cstheme="majorBidi"/>
          <w:sz w:val="24"/>
          <w:szCs w:val="24"/>
        </w:rPr>
        <w:t>GnRH</w:t>
      </w:r>
      <w:proofErr w:type="spellEnd"/>
      <w:r w:rsidRPr="00C035B0">
        <w:rPr>
          <w:rFonts w:asciiTheme="majorBidi" w:hAnsiTheme="majorBidi" w:cstheme="majorBidi"/>
          <w:sz w:val="24"/>
          <w:szCs w:val="24"/>
        </w:rPr>
        <w:t xml:space="preserve"> et PGF2alpha (</w:t>
      </w:r>
      <w:proofErr w:type="spellStart"/>
      <w:r w:rsidRPr="00C035B0">
        <w:rPr>
          <w:rFonts w:asciiTheme="majorBidi" w:hAnsiTheme="majorBidi" w:cstheme="majorBidi"/>
          <w:sz w:val="24"/>
          <w:szCs w:val="24"/>
        </w:rPr>
        <w:t>Ovsynch</w:t>
      </w:r>
      <w:proofErr w:type="spellEnd"/>
      <w:r w:rsidRPr="00C035B0">
        <w:rPr>
          <w:rFonts w:asciiTheme="majorBidi" w:hAnsiTheme="majorBidi" w:cstheme="majorBidi"/>
          <w:sz w:val="24"/>
          <w:szCs w:val="24"/>
        </w:rPr>
        <w:t xml:space="preserve"> : </w:t>
      </w:r>
      <w:proofErr w:type="spellStart"/>
      <w:r w:rsidRPr="00C035B0">
        <w:rPr>
          <w:rFonts w:asciiTheme="majorBidi" w:hAnsiTheme="majorBidi" w:cstheme="majorBidi"/>
          <w:sz w:val="24"/>
          <w:szCs w:val="24"/>
        </w:rPr>
        <w:t>GnRH</w:t>
      </w:r>
      <w:proofErr w:type="spellEnd"/>
      <w:r w:rsidRPr="00C035B0">
        <w:rPr>
          <w:rFonts w:asciiTheme="majorBidi" w:hAnsiTheme="majorBidi" w:cstheme="majorBidi"/>
          <w:sz w:val="24"/>
          <w:szCs w:val="24"/>
        </w:rPr>
        <w:t xml:space="preserve"> à J0, PGF2 a à J7,</w:t>
      </w:r>
      <w:proofErr w:type="spellStart"/>
      <w:r w:rsidRPr="00C035B0">
        <w:rPr>
          <w:rFonts w:asciiTheme="majorBidi" w:hAnsiTheme="majorBidi" w:cstheme="majorBidi"/>
          <w:sz w:val="24"/>
          <w:szCs w:val="24"/>
        </w:rPr>
        <w:t>GnRH</w:t>
      </w:r>
      <w:proofErr w:type="spellEnd"/>
      <w:r w:rsidRPr="00C035B0">
        <w:rPr>
          <w:rFonts w:asciiTheme="majorBidi" w:hAnsiTheme="majorBidi" w:cstheme="majorBidi"/>
          <w:sz w:val="24"/>
          <w:szCs w:val="24"/>
        </w:rPr>
        <w:t xml:space="preserve"> J9) Les traitements à base de </w:t>
      </w:r>
      <w:proofErr w:type="spellStart"/>
      <w:r w:rsidRPr="00C035B0">
        <w:rPr>
          <w:rFonts w:asciiTheme="majorBidi" w:hAnsiTheme="majorBidi" w:cstheme="majorBidi"/>
          <w:sz w:val="24"/>
          <w:szCs w:val="24"/>
        </w:rPr>
        <w:t>progestagénes</w:t>
      </w:r>
      <w:proofErr w:type="spellEnd"/>
      <w:r w:rsidRPr="00C035B0">
        <w:rPr>
          <w:rFonts w:asciiTheme="majorBidi" w:hAnsiTheme="majorBidi" w:cstheme="majorBidi"/>
          <w:sz w:val="24"/>
          <w:szCs w:val="24"/>
        </w:rPr>
        <w:t xml:space="preserve"> (dispositif libérant de la progestérone ou du </w:t>
      </w:r>
      <w:proofErr w:type="spellStart"/>
      <w:r w:rsidRPr="00C035B0">
        <w:rPr>
          <w:rFonts w:asciiTheme="majorBidi" w:hAnsiTheme="majorBidi" w:cstheme="majorBidi"/>
          <w:sz w:val="24"/>
          <w:szCs w:val="24"/>
        </w:rPr>
        <w:t>norgestomet</w:t>
      </w:r>
      <w:proofErr w:type="spellEnd"/>
      <w:r w:rsidRPr="00C035B0">
        <w:rPr>
          <w:rFonts w:asciiTheme="majorBidi" w:hAnsiTheme="majorBidi" w:cstheme="majorBidi"/>
          <w:sz w:val="24"/>
          <w:szCs w:val="24"/>
        </w:rPr>
        <w:t xml:space="preserve"> associe à un </w:t>
      </w:r>
      <w:proofErr w:type="spellStart"/>
      <w:r w:rsidRPr="00C035B0">
        <w:rPr>
          <w:rFonts w:asciiTheme="majorBidi" w:hAnsiTheme="majorBidi" w:cstheme="majorBidi"/>
          <w:sz w:val="24"/>
          <w:szCs w:val="24"/>
        </w:rPr>
        <w:t>oestrogene</w:t>
      </w:r>
      <w:proofErr w:type="spellEnd"/>
      <w:r w:rsidRPr="00C035B0">
        <w:rPr>
          <w:rFonts w:asciiTheme="majorBidi" w:hAnsiTheme="majorBidi" w:cstheme="majorBidi"/>
          <w:sz w:val="24"/>
          <w:szCs w:val="24"/>
        </w:rPr>
        <w:t xml:space="preserve"> et/ou à des PGF2a et de l’</w:t>
      </w:r>
      <w:proofErr w:type="spellStart"/>
      <w:r w:rsidRPr="00C035B0">
        <w:rPr>
          <w:rFonts w:asciiTheme="majorBidi" w:hAnsiTheme="majorBidi" w:cstheme="majorBidi"/>
          <w:sz w:val="24"/>
          <w:szCs w:val="24"/>
        </w:rPr>
        <w:t>eCG</w:t>
      </w:r>
      <w:proofErr w:type="spellEnd"/>
      <w:r w:rsidRPr="00C035B0">
        <w:rPr>
          <w:rFonts w:asciiTheme="majorBidi" w:hAnsiTheme="majorBidi" w:cstheme="majorBidi"/>
          <w:sz w:val="24"/>
          <w:szCs w:val="24"/>
        </w:rPr>
        <w:t xml:space="preserve">). La prostaglandine F2alpha et ses analogues provoquent la </w:t>
      </w:r>
      <w:proofErr w:type="spellStart"/>
      <w:r w:rsidRPr="00C035B0">
        <w:rPr>
          <w:rFonts w:asciiTheme="majorBidi" w:hAnsiTheme="majorBidi" w:cstheme="majorBidi"/>
          <w:sz w:val="24"/>
          <w:szCs w:val="24"/>
        </w:rPr>
        <w:t>lutéolyse</w:t>
      </w:r>
      <w:proofErr w:type="spellEnd"/>
      <w:r w:rsidRPr="00C035B0">
        <w:rPr>
          <w:rFonts w:asciiTheme="majorBidi" w:hAnsiTheme="majorBidi" w:cstheme="majorBidi"/>
          <w:sz w:val="24"/>
          <w:szCs w:val="24"/>
        </w:rPr>
        <w:t xml:space="preserve"> et les chaleurs qui suivent la deuxième injection s’étalent sur plusieurs </w:t>
      </w:r>
      <w:proofErr w:type="gramStart"/>
      <w:r w:rsidRPr="00C035B0">
        <w:rPr>
          <w:rFonts w:asciiTheme="majorBidi" w:hAnsiTheme="majorBidi" w:cstheme="majorBidi"/>
          <w:sz w:val="24"/>
          <w:szCs w:val="24"/>
        </w:rPr>
        <w:t>jours ,</w:t>
      </w:r>
      <w:proofErr w:type="gramEnd"/>
      <w:r w:rsidRPr="00C035B0">
        <w:rPr>
          <w:rFonts w:asciiTheme="majorBidi" w:hAnsiTheme="majorBidi" w:cstheme="majorBidi"/>
          <w:sz w:val="24"/>
          <w:szCs w:val="24"/>
        </w:rPr>
        <w:t xml:space="preserve"> l’insémination sur chaleur observée après ce traitement améliore les résultats de fertilité. Les associations </w:t>
      </w:r>
      <w:proofErr w:type="spellStart"/>
      <w:r w:rsidRPr="00C035B0">
        <w:rPr>
          <w:rFonts w:asciiTheme="majorBidi" w:hAnsiTheme="majorBidi" w:cstheme="majorBidi"/>
          <w:sz w:val="24"/>
          <w:szCs w:val="24"/>
        </w:rPr>
        <w:t>GnRH</w:t>
      </w:r>
      <w:proofErr w:type="spellEnd"/>
      <w:r w:rsidRPr="00C035B0">
        <w:rPr>
          <w:rFonts w:asciiTheme="majorBidi" w:hAnsiTheme="majorBidi" w:cstheme="majorBidi"/>
          <w:sz w:val="24"/>
          <w:szCs w:val="24"/>
        </w:rPr>
        <w:t xml:space="preserve"> et prostaglandine et </w:t>
      </w:r>
      <w:proofErr w:type="spellStart"/>
      <w:r w:rsidRPr="00C035B0">
        <w:rPr>
          <w:rFonts w:asciiTheme="majorBidi" w:hAnsiTheme="majorBidi" w:cstheme="majorBidi"/>
          <w:sz w:val="24"/>
          <w:szCs w:val="24"/>
        </w:rPr>
        <w:t>progestagéne</w:t>
      </w:r>
      <w:proofErr w:type="spellEnd"/>
      <w:r w:rsidRPr="00C035B0">
        <w:rPr>
          <w:rFonts w:asciiTheme="majorBidi" w:hAnsiTheme="majorBidi" w:cstheme="majorBidi"/>
          <w:sz w:val="24"/>
          <w:szCs w:val="24"/>
        </w:rPr>
        <w:t xml:space="preserve">/ </w:t>
      </w:r>
      <w:proofErr w:type="spellStart"/>
      <w:r w:rsidRPr="00C035B0">
        <w:rPr>
          <w:rFonts w:asciiTheme="majorBidi" w:hAnsiTheme="majorBidi" w:cstheme="majorBidi"/>
          <w:sz w:val="24"/>
          <w:szCs w:val="24"/>
        </w:rPr>
        <w:t>oestrogene</w:t>
      </w:r>
      <w:proofErr w:type="spellEnd"/>
      <w:r w:rsidRPr="00C035B0">
        <w:rPr>
          <w:rFonts w:asciiTheme="majorBidi" w:hAnsiTheme="majorBidi" w:cstheme="majorBidi"/>
          <w:sz w:val="24"/>
          <w:szCs w:val="24"/>
        </w:rPr>
        <w:t xml:space="preserve"> agissent à la fois sur la croissance folliculaire et sur la </w:t>
      </w:r>
      <w:proofErr w:type="spellStart"/>
      <w:r w:rsidRPr="00C035B0">
        <w:rPr>
          <w:rFonts w:asciiTheme="majorBidi" w:hAnsiTheme="majorBidi" w:cstheme="majorBidi"/>
          <w:sz w:val="24"/>
          <w:szCs w:val="24"/>
        </w:rPr>
        <w:t>lutéolyse</w:t>
      </w:r>
      <w:proofErr w:type="spellEnd"/>
      <w:r w:rsidRPr="00C035B0">
        <w:rPr>
          <w:rFonts w:asciiTheme="majorBidi" w:hAnsiTheme="majorBidi" w:cstheme="majorBidi"/>
          <w:sz w:val="24"/>
          <w:szCs w:val="24"/>
        </w:rPr>
        <w:t xml:space="preserve">, les chaleurs qui apparaissent </w:t>
      </w:r>
      <w:proofErr w:type="spellStart"/>
      <w:r w:rsidRPr="00C035B0">
        <w:rPr>
          <w:rFonts w:asciiTheme="majorBidi" w:hAnsiTheme="majorBidi" w:cstheme="majorBidi"/>
          <w:sz w:val="24"/>
          <w:szCs w:val="24"/>
        </w:rPr>
        <w:t>aprés</w:t>
      </w:r>
      <w:proofErr w:type="spellEnd"/>
      <w:r w:rsidRPr="00C035B0">
        <w:rPr>
          <w:rFonts w:asciiTheme="majorBidi" w:hAnsiTheme="majorBidi" w:cstheme="majorBidi"/>
          <w:sz w:val="24"/>
          <w:szCs w:val="24"/>
        </w:rPr>
        <w:t xml:space="preserve"> traitement sont bien groupées et il est possible d’inséminer en aveugle. Compte tenu de leur mécanisme d’action, le premier traitement est réservé aux animaux cyclés alors que les deux traitements </w:t>
      </w:r>
      <w:proofErr w:type="spellStart"/>
      <w:r w:rsidRPr="00C035B0">
        <w:rPr>
          <w:rFonts w:asciiTheme="majorBidi" w:hAnsiTheme="majorBidi" w:cstheme="majorBidi"/>
          <w:sz w:val="24"/>
          <w:szCs w:val="24"/>
        </w:rPr>
        <w:t>GnRH</w:t>
      </w:r>
      <w:proofErr w:type="spellEnd"/>
      <w:r w:rsidRPr="00C035B0">
        <w:rPr>
          <w:rFonts w:asciiTheme="majorBidi" w:hAnsiTheme="majorBidi" w:cstheme="majorBidi"/>
          <w:sz w:val="24"/>
          <w:szCs w:val="24"/>
        </w:rPr>
        <w:t xml:space="preserve"> + prostaglandine (</w:t>
      </w:r>
      <w:proofErr w:type="spellStart"/>
      <w:r w:rsidRPr="00C035B0">
        <w:rPr>
          <w:rFonts w:asciiTheme="majorBidi" w:hAnsiTheme="majorBidi" w:cstheme="majorBidi"/>
          <w:sz w:val="24"/>
          <w:szCs w:val="24"/>
        </w:rPr>
        <w:t>Ovsynch</w:t>
      </w:r>
      <w:proofErr w:type="spellEnd"/>
      <w:r w:rsidRPr="00C035B0">
        <w:rPr>
          <w:rFonts w:asciiTheme="majorBidi" w:hAnsiTheme="majorBidi" w:cstheme="majorBidi"/>
          <w:sz w:val="24"/>
          <w:szCs w:val="24"/>
        </w:rPr>
        <w:t xml:space="preserve">) et </w:t>
      </w:r>
      <w:proofErr w:type="spellStart"/>
      <w:r w:rsidRPr="00C035B0">
        <w:rPr>
          <w:rFonts w:asciiTheme="majorBidi" w:hAnsiTheme="majorBidi" w:cstheme="majorBidi"/>
          <w:sz w:val="24"/>
          <w:szCs w:val="24"/>
        </w:rPr>
        <w:t>progestagénes</w:t>
      </w:r>
      <w:proofErr w:type="spellEnd"/>
      <w:r w:rsidRPr="00C035B0">
        <w:rPr>
          <w:rFonts w:asciiTheme="majorBidi" w:hAnsiTheme="majorBidi" w:cstheme="majorBidi"/>
          <w:sz w:val="24"/>
          <w:szCs w:val="24"/>
        </w:rPr>
        <w:t xml:space="preserve"> peuvent être utilisés sur des animaux cyclés ou non (</w:t>
      </w:r>
      <w:proofErr w:type="spellStart"/>
      <w:r w:rsidRPr="00C035B0">
        <w:rPr>
          <w:rFonts w:asciiTheme="majorBidi" w:hAnsiTheme="majorBidi" w:cstheme="majorBidi"/>
          <w:sz w:val="24"/>
          <w:szCs w:val="24"/>
        </w:rPr>
        <w:t>anoestrus</w:t>
      </w:r>
      <w:proofErr w:type="spellEnd"/>
      <w:r w:rsidRPr="00C035B0">
        <w:rPr>
          <w:rFonts w:asciiTheme="majorBidi" w:hAnsiTheme="majorBidi" w:cstheme="majorBidi"/>
          <w:sz w:val="24"/>
          <w:szCs w:val="24"/>
        </w:rPr>
        <w:t>). La fertilité à l’</w:t>
      </w:r>
      <w:proofErr w:type="spellStart"/>
      <w:r w:rsidRPr="00C035B0">
        <w:rPr>
          <w:rFonts w:asciiTheme="majorBidi" w:hAnsiTheme="majorBidi" w:cstheme="majorBidi"/>
          <w:sz w:val="24"/>
          <w:szCs w:val="24"/>
        </w:rPr>
        <w:t>oestrus</w:t>
      </w:r>
      <w:proofErr w:type="spellEnd"/>
      <w:r w:rsidRPr="00C035B0">
        <w:rPr>
          <w:rFonts w:asciiTheme="majorBidi" w:hAnsiTheme="majorBidi" w:cstheme="majorBidi"/>
          <w:sz w:val="24"/>
          <w:szCs w:val="24"/>
        </w:rPr>
        <w:t xml:space="preserve"> induit est variable, de 20 à 70% sur de grands lots d’animaux. Certaine facteurs de variation sont connus mais non maîtrisables dans la pratique au moment de la mise à la reproduction (jour du cycle au moment du traitement, cyclicité avant traitement, rang de vêlage, conditions de vêlage, note d’état corporel). D’autres peuvent être utilisés pour améliorer la fertilité des animaux à risque. Ainsi, une bonne connaissance des mécanismes physiologiques expliquant l’effet de chaque traitement, une évolution des facteurs de risque présentes par les animaux à synchroniser et l’application de mesures correctrices devraient permettre d’adapter les traitements aux situations rencontrées (cyclées, </w:t>
      </w:r>
      <w:proofErr w:type="spellStart"/>
      <w:r w:rsidRPr="00C035B0">
        <w:rPr>
          <w:rFonts w:asciiTheme="majorBidi" w:hAnsiTheme="majorBidi" w:cstheme="majorBidi"/>
          <w:sz w:val="24"/>
          <w:szCs w:val="24"/>
        </w:rPr>
        <w:t>anoestrus</w:t>
      </w:r>
      <w:proofErr w:type="spellEnd"/>
      <w:r w:rsidRPr="00C035B0">
        <w:rPr>
          <w:rFonts w:asciiTheme="majorBidi" w:hAnsiTheme="majorBidi" w:cstheme="majorBidi"/>
          <w:sz w:val="24"/>
          <w:szCs w:val="24"/>
        </w:rPr>
        <w:t xml:space="preserve">, </w:t>
      </w:r>
      <w:proofErr w:type="spellStart"/>
      <w:r w:rsidRPr="00C035B0">
        <w:rPr>
          <w:rFonts w:asciiTheme="majorBidi" w:hAnsiTheme="majorBidi" w:cstheme="majorBidi"/>
          <w:sz w:val="24"/>
          <w:szCs w:val="24"/>
        </w:rPr>
        <w:t>suboestrus</w:t>
      </w:r>
      <w:proofErr w:type="spellEnd"/>
      <w:r w:rsidRPr="00C035B0">
        <w:rPr>
          <w:rFonts w:asciiTheme="majorBidi" w:hAnsiTheme="majorBidi" w:cstheme="majorBidi"/>
          <w:sz w:val="24"/>
          <w:szCs w:val="24"/>
        </w:rPr>
        <w:t>, troupeau laitier ou allaitant...), afin d’améliorer la fertilité et de réduire la variabilité de la réponse au traitement.</w:t>
      </w:r>
    </w:p>
    <w:p w:rsidR="00C035B0" w:rsidRPr="00C035B0" w:rsidRDefault="00C035B0" w:rsidP="00C035B0">
      <w:pPr>
        <w:tabs>
          <w:tab w:val="left" w:pos="1410"/>
        </w:tabs>
        <w:autoSpaceDE w:val="0"/>
        <w:autoSpaceDN w:val="0"/>
        <w:adjustRightInd w:val="0"/>
        <w:rPr>
          <w:rFonts w:asciiTheme="majorBidi" w:hAnsiTheme="majorBidi" w:cstheme="majorBidi"/>
          <w:sz w:val="24"/>
          <w:szCs w:val="24"/>
        </w:rPr>
      </w:pPr>
      <w:r w:rsidRPr="00C035B0">
        <w:rPr>
          <w:rFonts w:asciiTheme="majorBidi" w:hAnsiTheme="majorBidi" w:cstheme="majorBidi"/>
          <w:b/>
          <w:bCs/>
          <w:sz w:val="24"/>
          <w:szCs w:val="24"/>
        </w:rPr>
        <w:t>Abstract</w:t>
      </w:r>
      <w:r w:rsidRPr="00C035B0">
        <w:rPr>
          <w:rFonts w:asciiTheme="majorBidi" w:hAnsiTheme="majorBidi" w:cstheme="majorBidi"/>
          <w:sz w:val="24"/>
          <w:szCs w:val="24"/>
        </w:rPr>
        <w:t>:</w:t>
      </w:r>
    </w:p>
    <w:p w:rsidR="00DF3BB5" w:rsidRPr="00C035B0" w:rsidRDefault="00C035B0" w:rsidP="00C035B0">
      <w:pPr>
        <w:tabs>
          <w:tab w:val="left" w:pos="1410"/>
        </w:tabs>
        <w:autoSpaceDE w:val="0"/>
        <w:autoSpaceDN w:val="0"/>
        <w:adjustRightInd w:val="0"/>
        <w:rPr>
          <w:rFonts w:asciiTheme="majorBidi" w:hAnsiTheme="majorBidi" w:cstheme="majorBidi"/>
          <w:sz w:val="24"/>
          <w:szCs w:val="24"/>
          <w:lang w:val="en-US"/>
        </w:rPr>
      </w:pPr>
      <w:r w:rsidRPr="00C035B0">
        <w:rPr>
          <w:rFonts w:asciiTheme="majorBidi" w:hAnsiTheme="majorBidi" w:cstheme="majorBidi"/>
          <w:sz w:val="24"/>
          <w:szCs w:val="24"/>
          <w:lang w:val="en-US"/>
        </w:rPr>
        <w:t xml:space="preserve">Three types of hormonal treatments are used to </w:t>
      </w:r>
      <w:proofErr w:type="spellStart"/>
      <w:r w:rsidRPr="00C035B0">
        <w:rPr>
          <w:rFonts w:asciiTheme="majorBidi" w:hAnsiTheme="majorBidi" w:cstheme="majorBidi"/>
          <w:sz w:val="24"/>
          <w:szCs w:val="24"/>
          <w:lang w:val="en-US"/>
        </w:rPr>
        <w:t>synchronise</w:t>
      </w:r>
      <w:proofErr w:type="spellEnd"/>
      <w:r w:rsidRPr="00C035B0">
        <w:rPr>
          <w:rFonts w:asciiTheme="majorBidi" w:hAnsiTheme="majorBidi" w:cstheme="majorBidi"/>
          <w:sz w:val="24"/>
          <w:szCs w:val="24"/>
          <w:lang w:val="en-US"/>
        </w:rPr>
        <w:t xml:space="preserve"> </w:t>
      </w:r>
      <w:proofErr w:type="spellStart"/>
      <w:r w:rsidRPr="00C035B0">
        <w:rPr>
          <w:rFonts w:asciiTheme="majorBidi" w:hAnsiTheme="majorBidi" w:cstheme="majorBidi"/>
          <w:sz w:val="24"/>
          <w:szCs w:val="24"/>
          <w:lang w:val="en-US"/>
        </w:rPr>
        <w:t>oestrus</w:t>
      </w:r>
      <w:proofErr w:type="spellEnd"/>
      <w:r w:rsidRPr="00C035B0">
        <w:rPr>
          <w:rFonts w:asciiTheme="majorBidi" w:hAnsiTheme="majorBidi" w:cstheme="majorBidi"/>
          <w:sz w:val="24"/>
          <w:szCs w:val="24"/>
          <w:lang w:val="en-US"/>
        </w:rPr>
        <w:t xml:space="preserve"> in cattle. They are based on the utilization of prostaglandins F2a or analogs (PGF2a at 11-14day intervals) on the association </w:t>
      </w:r>
      <w:proofErr w:type="spellStart"/>
      <w:r w:rsidRPr="00C035B0">
        <w:rPr>
          <w:rFonts w:asciiTheme="majorBidi" w:hAnsiTheme="majorBidi" w:cstheme="majorBidi"/>
          <w:sz w:val="24"/>
          <w:szCs w:val="24"/>
          <w:lang w:val="en-US"/>
        </w:rPr>
        <w:t>GnRH</w:t>
      </w:r>
      <w:proofErr w:type="spellEnd"/>
      <w:r w:rsidRPr="00C035B0">
        <w:rPr>
          <w:rFonts w:asciiTheme="majorBidi" w:hAnsiTheme="majorBidi" w:cstheme="majorBidi"/>
          <w:sz w:val="24"/>
          <w:szCs w:val="24"/>
          <w:lang w:val="en-US"/>
        </w:rPr>
        <w:t xml:space="preserve"> and </w:t>
      </w:r>
      <w:proofErr w:type="gramStart"/>
      <w:r w:rsidRPr="00C035B0">
        <w:rPr>
          <w:rFonts w:asciiTheme="majorBidi" w:hAnsiTheme="majorBidi" w:cstheme="majorBidi"/>
          <w:sz w:val="24"/>
          <w:szCs w:val="24"/>
          <w:lang w:val="en-US"/>
        </w:rPr>
        <w:t>PGF2a(</w:t>
      </w:r>
      <w:proofErr w:type="gramEnd"/>
      <w:r w:rsidRPr="00C035B0">
        <w:rPr>
          <w:rFonts w:asciiTheme="majorBidi" w:hAnsiTheme="majorBidi" w:cstheme="majorBidi"/>
          <w:sz w:val="24"/>
          <w:szCs w:val="24"/>
          <w:lang w:val="en-US"/>
        </w:rPr>
        <w:t xml:space="preserve"> </w:t>
      </w:r>
      <w:proofErr w:type="spellStart"/>
      <w:r w:rsidRPr="00C035B0">
        <w:rPr>
          <w:rFonts w:asciiTheme="majorBidi" w:hAnsiTheme="majorBidi" w:cstheme="majorBidi"/>
          <w:sz w:val="24"/>
          <w:szCs w:val="24"/>
          <w:lang w:val="en-US"/>
        </w:rPr>
        <w:t>GnRH</w:t>
      </w:r>
      <w:proofErr w:type="spellEnd"/>
      <w:r w:rsidRPr="00C035B0">
        <w:rPr>
          <w:rFonts w:asciiTheme="majorBidi" w:hAnsiTheme="majorBidi" w:cstheme="majorBidi"/>
          <w:sz w:val="24"/>
          <w:szCs w:val="24"/>
          <w:lang w:val="en-US"/>
        </w:rPr>
        <w:t xml:space="preserve">, PGF2a on D7, </w:t>
      </w:r>
      <w:proofErr w:type="spellStart"/>
      <w:r w:rsidRPr="00C035B0">
        <w:rPr>
          <w:rFonts w:asciiTheme="majorBidi" w:hAnsiTheme="majorBidi" w:cstheme="majorBidi"/>
          <w:sz w:val="24"/>
          <w:szCs w:val="24"/>
          <w:lang w:val="en-US"/>
        </w:rPr>
        <w:t>GnRH</w:t>
      </w:r>
      <w:proofErr w:type="spellEnd"/>
      <w:r w:rsidRPr="00C035B0">
        <w:rPr>
          <w:rFonts w:asciiTheme="majorBidi" w:hAnsiTheme="majorBidi" w:cstheme="majorBidi"/>
          <w:sz w:val="24"/>
          <w:szCs w:val="24"/>
          <w:lang w:val="en-US"/>
        </w:rPr>
        <w:t xml:space="preserve"> on D9) and on the association </w:t>
      </w:r>
      <w:proofErr w:type="spellStart"/>
      <w:r w:rsidRPr="00C035B0">
        <w:rPr>
          <w:rFonts w:asciiTheme="majorBidi" w:hAnsiTheme="majorBidi" w:cstheme="majorBidi"/>
          <w:sz w:val="24"/>
          <w:szCs w:val="24"/>
          <w:lang w:val="en-US"/>
        </w:rPr>
        <w:t>progestogen</w:t>
      </w:r>
      <w:proofErr w:type="spellEnd"/>
      <w:r w:rsidRPr="00C035B0">
        <w:rPr>
          <w:rFonts w:asciiTheme="majorBidi" w:hAnsiTheme="majorBidi" w:cstheme="majorBidi"/>
          <w:sz w:val="24"/>
          <w:szCs w:val="24"/>
          <w:lang w:val="en-US"/>
        </w:rPr>
        <w:t xml:space="preserve"> ( during 9 to 12 </w:t>
      </w:r>
      <w:proofErr w:type="spellStart"/>
      <w:r w:rsidRPr="00C035B0">
        <w:rPr>
          <w:rFonts w:asciiTheme="majorBidi" w:hAnsiTheme="majorBidi" w:cstheme="majorBidi"/>
          <w:sz w:val="24"/>
          <w:szCs w:val="24"/>
          <w:lang w:val="en-US"/>
        </w:rPr>
        <w:t>dys</w:t>
      </w:r>
      <w:proofErr w:type="spellEnd"/>
      <w:r w:rsidRPr="00C035B0">
        <w:rPr>
          <w:rFonts w:asciiTheme="majorBidi" w:hAnsiTheme="majorBidi" w:cstheme="majorBidi"/>
          <w:sz w:val="24"/>
          <w:szCs w:val="24"/>
          <w:lang w:val="en-US"/>
        </w:rPr>
        <w:t xml:space="preserve">) and </w:t>
      </w:r>
      <w:proofErr w:type="spellStart"/>
      <w:r w:rsidRPr="00C035B0">
        <w:rPr>
          <w:rFonts w:asciiTheme="majorBidi" w:hAnsiTheme="majorBidi" w:cstheme="majorBidi"/>
          <w:sz w:val="24"/>
          <w:szCs w:val="24"/>
          <w:lang w:val="en-US"/>
        </w:rPr>
        <w:t>oestrogen</w:t>
      </w:r>
      <w:proofErr w:type="spellEnd"/>
      <w:r w:rsidRPr="00C035B0">
        <w:rPr>
          <w:rFonts w:asciiTheme="majorBidi" w:hAnsiTheme="majorBidi" w:cstheme="majorBidi"/>
          <w:sz w:val="24"/>
          <w:szCs w:val="24"/>
          <w:lang w:val="en-US"/>
        </w:rPr>
        <w:t xml:space="preserve"> with or without PGF2 alpha. Prostaglandin F2alpha induces </w:t>
      </w:r>
      <w:proofErr w:type="spellStart"/>
      <w:r w:rsidRPr="00C035B0">
        <w:rPr>
          <w:rFonts w:asciiTheme="majorBidi" w:hAnsiTheme="majorBidi" w:cstheme="majorBidi"/>
          <w:sz w:val="24"/>
          <w:szCs w:val="24"/>
          <w:lang w:val="en-US"/>
        </w:rPr>
        <w:t>luteolysis</w:t>
      </w:r>
      <w:proofErr w:type="spellEnd"/>
      <w:r w:rsidRPr="00C035B0">
        <w:rPr>
          <w:rFonts w:asciiTheme="majorBidi" w:hAnsiTheme="majorBidi" w:cstheme="majorBidi"/>
          <w:sz w:val="24"/>
          <w:szCs w:val="24"/>
          <w:lang w:val="en-US"/>
        </w:rPr>
        <w:t xml:space="preserve"> and </w:t>
      </w:r>
      <w:proofErr w:type="spellStart"/>
      <w:r w:rsidRPr="00C035B0">
        <w:rPr>
          <w:rFonts w:asciiTheme="majorBidi" w:hAnsiTheme="majorBidi" w:cstheme="majorBidi"/>
          <w:sz w:val="24"/>
          <w:szCs w:val="24"/>
          <w:lang w:val="en-US"/>
        </w:rPr>
        <w:t>oestrus</w:t>
      </w:r>
      <w:proofErr w:type="spellEnd"/>
      <w:r w:rsidRPr="00C035B0">
        <w:rPr>
          <w:rFonts w:asciiTheme="majorBidi" w:hAnsiTheme="majorBidi" w:cstheme="majorBidi"/>
          <w:sz w:val="24"/>
          <w:szCs w:val="24"/>
          <w:lang w:val="en-US"/>
        </w:rPr>
        <w:t xml:space="preserve"> in </w:t>
      </w:r>
      <w:proofErr w:type="spellStart"/>
      <w:r w:rsidRPr="00C035B0">
        <w:rPr>
          <w:rFonts w:asciiTheme="majorBidi" w:hAnsiTheme="majorBidi" w:cstheme="majorBidi"/>
          <w:sz w:val="24"/>
          <w:szCs w:val="24"/>
          <w:lang w:val="en-US"/>
        </w:rPr>
        <w:t>spreadover</w:t>
      </w:r>
      <w:proofErr w:type="spellEnd"/>
      <w:r w:rsidRPr="00C035B0">
        <w:rPr>
          <w:rFonts w:asciiTheme="majorBidi" w:hAnsiTheme="majorBidi" w:cstheme="majorBidi"/>
          <w:sz w:val="24"/>
          <w:szCs w:val="24"/>
          <w:lang w:val="en-US"/>
        </w:rPr>
        <w:t xml:space="preserve"> several days. Insemination at observed </w:t>
      </w:r>
      <w:proofErr w:type="spellStart"/>
      <w:r w:rsidRPr="00C035B0">
        <w:rPr>
          <w:rFonts w:asciiTheme="majorBidi" w:hAnsiTheme="majorBidi" w:cstheme="majorBidi"/>
          <w:sz w:val="24"/>
          <w:szCs w:val="24"/>
          <w:lang w:val="en-US"/>
        </w:rPr>
        <w:t>oestrus</w:t>
      </w:r>
      <w:proofErr w:type="spellEnd"/>
      <w:r w:rsidRPr="00C035B0">
        <w:rPr>
          <w:rFonts w:asciiTheme="majorBidi" w:hAnsiTheme="majorBidi" w:cstheme="majorBidi"/>
          <w:sz w:val="24"/>
          <w:szCs w:val="24"/>
          <w:lang w:val="en-US"/>
        </w:rPr>
        <w:t xml:space="preserve"> is more effective than systematic insemination 72 and 96 hours after the second injection of PGF2alpha. </w:t>
      </w:r>
      <w:proofErr w:type="gramStart"/>
      <w:r w:rsidRPr="00C035B0">
        <w:rPr>
          <w:rFonts w:asciiTheme="majorBidi" w:hAnsiTheme="majorBidi" w:cstheme="majorBidi"/>
          <w:sz w:val="24"/>
          <w:szCs w:val="24"/>
          <w:lang w:val="en-US"/>
        </w:rPr>
        <w:t xml:space="preserve">The associations of </w:t>
      </w:r>
      <w:proofErr w:type="spellStart"/>
      <w:r w:rsidRPr="00C035B0">
        <w:rPr>
          <w:rFonts w:asciiTheme="majorBidi" w:hAnsiTheme="majorBidi" w:cstheme="majorBidi"/>
          <w:sz w:val="24"/>
          <w:szCs w:val="24"/>
          <w:lang w:val="en-US"/>
        </w:rPr>
        <w:t>GnRH</w:t>
      </w:r>
      <w:proofErr w:type="spellEnd"/>
      <w:r w:rsidRPr="00C035B0">
        <w:rPr>
          <w:rFonts w:asciiTheme="majorBidi" w:hAnsiTheme="majorBidi" w:cstheme="majorBidi"/>
          <w:sz w:val="24"/>
          <w:szCs w:val="24"/>
          <w:lang w:val="en-US"/>
        </w:rPr>
        <w:t xml:space="preserve">/ PGF2alpha and </w:t>
      </w:r>
      <w:proofErr w:type="spellStart"/>
      <w:r w:rsidRPr="00C035B0">
        <w:rPr>
          <w:rFonts w:asciiTheme="majorBidi" w:hAnsiTheme="majorBidi" w:cstheme="majorBidi"/>
          <w:sz w:val="24"/>
          <w:szCs w:val="24"/>
          <w:lang w:val="en-US"/>
        </w:rPr>
        <w:t>progestogen</w:t>
      </w:r>
      <w:proofErr w:type="spellEnd"/>
      <w:r w:rsidRPr="00C035B0">
        <w:rPr>
          <w:rFonts w:asciiTheme="majorBidi" w:hAnsiTheme="majorBidi" w:cstheme="majorBidi"/>
          <w:sz w:val="24"/>
          <w:szCs w:val="24"/>
          <w:lang w:val="en-US"/>
        </w:rPr>
        <w:t>/</w:t>
      </w:r>
      <w:proofErr w:type="spellStart"/>
      <w:r w:rsidRPr="00C035B0">
        <w:rPr>
          <w:rFonts w:asciiTheme="majorBidi" w:hAnsiTheme="majorBidi" w:cstheme="majorBidi"/>
          <w:sz w:val="24"/>
          <w:szCs w:val="24"/>
          <w:lang w:val="en-US"/>
        </w:rPr>
        <w:t>oestrogen</w:t>
      </w:r>
      <w:proofErr w:type="spellEnd"/>
      <w:r w:rsidRPr="00C035B0">
        <w:rPr>
          <w:rFonts w:asciiTheme="majorBidi" w:hAnsiTheme="majorBidi" w:cstheme="majorBidi"/>
          <w:sz w:val="24"/>
          <w:szCs w:val="24"/>
          <w:lang w:val="en-US"/>
        </w:rPr>
        <w:t xml:space="preserve">/PGF2alpha act on both follicular growth and </w:t>
      </w:r>
      <w:proofErr w:type="spellStart"/>
      <w:r w:rsidRPr="00C035B0">
        <w:rPr>
          <w:rFonts w:asciiTheme="majorBidi" w:hAnsiTheme="majorBidi" w:cstheme="majorBidi"/>
          <w:sz w:val="24"/>
          <w:szCs w:val="24"/>
          <w:lang w:val="en-US"/>
        </w:rPr>
        <w:t>luteolysis</w:t>
      </w:r>
      <w:proofErr w:type="spellEnd"/>
      <w:r w:rsidRPr="00C035B0">
        <w:rPr>
          <w:rFonts w:asciiTheme="majorBidi" w:hAnsiTheme="majorBidi" w:cstheme="majorBidi"/>
          <w:sz w:val="24"/>
          <w:szCs w:val="24"/>
          <w:lang w:val="en-US"/>
        </w:rPr>
        <w:t>.</w:t>
      </w:r>
      <w:proofErr w:type="gramEnd"/>
      <w:r w:rsidRPr="00C035B0">
        <w:rPr>
          <w:rFonts w:asciiTheme="majorBidi" w:hAnsiTheme="majorBidi" w:cstheme="majorBidi"/>
          <w:sz w:val="24"/>
          <w:szCs w:val="24"/>
          <w:lang w:val="en-US"/>
        </w:rPr>
        <w:t xml:space="preserve"> The induced heats are well-grouped and it is possible to use systematic insemination. Based on their mechanisms of action, the first two treatments should be reserved for cycling animals, whereas the third treatment based on </w:t>
      </w:r>
      <w:proofErr w:type="spellStart"/>
      <w:r w:rsidRPr="00C035B0">
        <w:rPr>
          <w:rFonts w:asciiTheme="majorBidi" w:hAnsiTheme="majorBidi" w:cstheme="majorBidi"/>
          <w:sz w:val="24"/>
          <w:szCs w:val="24"/>
          <w:lang w:val="en-US"/>
        </w:rPr>
        <w:t>progestogens</w:t>
      </w:r>
      <w:proofErr w:type="spellEnd"/>
      <w:r w:rsidRPr="00C035B0">
        <w:rPr>
          <w:rFonts w:asciiTheme="majorBidi" w:hAnsiTheme="majorBidi" w:cstheme="majorBidi"/>
          <w:sz w:val="24"/>
          <w:szCs w:val="24"/>
          <w:lang w:val="en-US"/>
        </w:rPr>
        <w:t xml:space="preserve"> can be used on anoestrus females. Fertility at induced </w:t>
      </w:r>
      <w:proofErr w:type="spellStart"/>
      <w:r w:rsidRPr="00C035B0">
        <w:rPr>
          <w:rFonts w:asciiTheme="majorBidi" w:hAnsiTheme="majorBidi" w:cstheme="majorBidi"/>
          <w:sz w:val="24"/>
          <w:szCs w:val="24"/>
          <w:lang w:val="en-US"/>
        </w:rPr>
        <w:t>oestrus</w:t>
      </w:r>
      <w:proofErr w:type="spellEnd"/>
      <w:r w:rsidRPr="00C035B0">
        <w:rPr>
          <w:rFonts w:asciiTheme="majorBidi" w:hAnsiTheme="majorBidi" w:cstheme="majorBidi"/>
          <w:sz w:val="24"/>
          <w:szCs w:val="24"/>
          <w:lang w:val="en-US"/>
        </w:rPr>
        <w:t xml:space="preserve"> is variable, and ranges from 20 to 70 % in large groups of animals. Some variation factors are know but cannot be controlled by current reproduction practices. Others can be used to improve fertility in animals which have reproductive difficulties (lengthen the period between calving and treatment, use of flushing, temporary separation of the calf in beef cows). Thus, adequate knowledge of the physiological mechanisms governing the effect of each treatment, an evaluation of risk factors seen in </w:t>
      </w:r>
      <w:proofErr w:type="spellStart"/>
      <w:r w:rsidRPr="00C035B0">
        <w:rPr>
          <w:rFonts w:asciiTheme="majorBidi" w:hAnsiTheme="majorBidi" w:cstheme="majorBidi"/>
          <w:sz w:val="24"/>
          <w:szCs w:val="24"/>
          <w:lang w:val="en-US"/>
        </w:rPr>
        <w:t>synchronised</w:t>
      </w:r>
      <w:proofErr w:type="spellEnd"/>
      <w:r w:rsidRPr="00C035B0">
        <w:rPr>
          <w:rFonts w:asciiTheme="majorBidi" w:hAnsiTheme="majorBidi" w:cstheme="majorBidi"/>
          <w:sz w:val="24"/>
          <w:szCs w:val="24"/>
          <w:lang w:val="en-US"/>
        </w:rPr>
        <w:t xml:space="preserve"> animals and the application of corrective measures should allow the treatment to be adapted to the different situations encountered in the field and therefore improve fertility and reduce its variability.</w:t>
      </w:r>
    </w:p>
    <w:sectPr w:rsidR="00DF3BB5" w:rsidRPr="00C035B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5729</TotalTime>
  <Pages>1</Pages>
  <Words>595</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233</cp:revision>
  <dcterms:created xsi:type="dcterms:W3CDTF">2020-01-20T08:03:00Z</dcterms:created>
  <dcterms:modified xsi:type="dcterms:W3CDTF">2020-11-11T08:02:00Z</dcterms:modified>
</cp:coreProperties>
</file>