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B5" w:rsidRDefault="001B3597" w:rsidP="00D94AB5">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w:t>
      </w:r>
      <w:r w:rsidR="00F04857" w:rsidRPr="00F04857">
        <w:t xml:space="preserve"> </w:t>
      </w:r>
      <w:r w:rsidR="00D94AB5" w:rsidRPr="00D94AB5">
        <w:rPr>
          <w:rFonts w:asciiTheme="majorBidi" w:hAnsiTheme="majorBidi" w:cstheme="majorBidi"/>
          <w:b/>
          <w:bCs/>
          <w:sz w:val="28"/>
          <w:szCs w:val="28"/>
        </w:rPr>
        <w:t>Synchronisation des chaleurs chez les bovins</w:t>
      </w:r>
    </w:p>
    <w:p w:rsidR="0090358A" w:rsidRPr="00F830C5" w:rsidRDefault="0090358A" w:rsidP="00D94AB5">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8D3287" w:rsidRDefault="008D3287" w:rsidP="005719CE">
      <w:pPr>
        <w:jc w:val="both"/>
        <w:rPr>
          <w:rFonts w:asciiTheme="majorBidi" w:hAnsiTheme="majorBidi" w:cstheme="majorBidi"/>
          <w:sz w:val="24"/>
          <w:szCs w:val="24"/>
        </w:rPr>
      </w:pPr>
      <w:r w:rsidRPr="008D3287">
        <w:rPr>
          <w:rFonts w:asciiTheme="majorBidi" w:hAnsiTheme="majorBidi" w:cstheme="majorBidi"/>
          <w:sz w:val="24"/>
          <w:szCs w:val="24"/>
        </w:rPr>
        <w:t>Les traitements de maîtrise des cycles permettent, chez les bovins, de synchroniser les chaleurs et d’inséminer des groupes d’animaux en aveugle, le même jour. Le travail est ainsi simplifié et les périodes de vêlages peuvent être planifiées. L’intérêt de ces traitements est cependant, limité par la variabilité de la fertilité à l’</w:t>
      </w:r>
      <w:proofErr w:type="spellStart"/>
      <w:r w:rsidRPr="008D3287">
        <w:rPr>
          <w:rFonts w:asciiTheme="majorBidi" w:hAnsiTheme="majorBidi" w:cstheme="majorBidi"/>
          <w:sz w:val="24"/>
          <w:szCs w:val="24"/>
        </w:rPr>
        <w:t>oestrus</w:t>
      </w:r>
      <w:proofErr w:type="spellEnd"/>
      <w:r w:rsidRPr="008D3287">
        <w:rPr>
          <w:rFonts w:asciiTheme="majorBidi" w:hAnsiTheme="majorBidi" w:cstheme="majorBidi"/>
          <w:sz w:val="24"/>
          <w:szCs w:val="24"/>
        </w:rPr>
        <w:t xml:space="preserve"> induit. Une part de cette variabilité est </w:t>
      </w:r>
      <w:proofErr w:type="spellStart"/>
      <w:r w:rsidRPr="008D3287">
        <w:rPr>
          <w:rFonts w:asciiTheme="majorBidi" w:hAnsiTheme="majorBidi" w:cstheme="majorBidi"/>
          <w:sz w:val="24"/>
          <w:szCs w:val="24"/>
        </w:rPr>
        <w:t>dûe</w:t>
      </w:r>
      <w:proofErr w:type="spellEnd"/>
      <w:r w:rsidRPr="008D3287">
        <w:rPr>
          <w:rFonts w:asciiTheme="majorBidi" w:hAnsiTheme="majorBidi" w:cstheme="majorBidi"/>
          <w:sz w:val="24"/>
          <w:szCs w:val="24"/>
        </w:rPr>
        <w:t xml:space="preserve"> au mécanisme d’action du traitement lui-même. En effet, plusieurs protocoles hormonaux permettent de synchroniser les chaleurs chez les </w:t>
      </w:r>
      <w:proofErr w:type="spellStart"/>
      <w:r w:rsidRPr="008D3287">
        <w:rPr>
          <w:rFonts w:asciiTheme="majorBidi" w:hAnsiTheme="majorBidi" w:cstheme="majorBidi"/>
          <w:sz w:val="24"/>
          <w:szCs w:val="24"/>
        </w:rPr>
        <w:t>bovins.Les</w:t>
      </w:r>
      <w:proofErr w:type="spellEnd"/>
      <w:r w:rsidRPr="008D3287">
        <w:rPr>
          <w:rFonts w:asciiTheme="majorBidi" w:hAnsiTheme="majorBidi" w:cstheme="majorBidi"/>
          <w:sz w:val="24"/>
          <w:szCs w:val="24"/>
        </w:rPr>
        <w:t xml:space="preserve"> traitements à base de PGF2(alpha) ou de ses analogues (2 injections à 11-14 jours d’intervalle), les traitements associant </w:t>
      </w:r>
      <w:proofErr w:type="spellStart"/>
      <w:r w:rsidRPr="008D3287">
        <w:rPr>
          <w:rFonts w:asciiTheme="majorBidi" w:hAnsiTheme="majorBidi" w:cstheme="majorBidi"/>
          <w:sz w:val="24"/>
          <w:szCs w:val="24"/>
        </w:rPr>
        <w:t>GnRH</w:t>
      </w:r>
      <w:proofErr w:type="spellEnd"/>
      <w:r w:rsidRPr="008D3287">
        <w:rPr>
          <w:rFonts w:asciiTheme="majorBidi" w:hAnsiTheme="majorBidi" w:cstheme="majorBidi"/>
          <w:sz w:val="24"/>
          <w:szCs w:val="24"/>
        </w:rPr>
        <w:t xml:space="preserve"> et PGF2(alpha) (OVSYNCH®), les traitements à base de </w:t>
      </w:r>
      <w:proofErr w:type="spellStart"/>
      <w:r w:rsidRPr="008D3287">
        <w:rPr>
          <w:rFonts w:asciiTheme="majorBidi" w:hAnsiTheme="majorBidi" w:cstheme="majorBidi"/>
          <w:sz w:val="24"/>
          <w:szCs w:val="24"/>
        </w:rPr>
        <w:t>progestagènes</w:t>
      </w:r>
      <w:proofErr w:type="spellEnd"/>
      <w:r w:rsidRPr="008D3287">
        <w:rPr>
          <w:rFonts w:asciiTheme="majorBidi" w:hAnsiTheme="majorBidi" w:cstheme="majorBidi"/>
          <w:sz w:val="24"/>
          <w:szCs w:val="24"/>
        </w:rPr>
        <w:t xml:space="preserve">: PRID®, CIDR®, CRESTAR® (dispositifs libérant de la progestérone ou du </w:t>
      </w:r>
      <w:proofErr w:type="spellStart"/>
      <w:r w:rsidRPr="008D3287">
        <w:rPr>
          <w:rFonts w:asciiTheme="majorBidi" w:hAnsiTheme="majorBidi" w:cstheme="majorBidi"/>
          <w:sz w:val="24"/>
          <w:szCs w:val="24"/>
        </w:rPr>
        <w:t>norgestomet</w:t>
      </w:r>
      <w:proofErr w:type="spellEnd"/>
      <w:r w:rsidRPr="008D3287">
        <w:rPr>
          <w:rFonts w:asciiTheme="majorBidi" w:hAnsiTheme="majorBidi" w:cstheme="majorBidi"/>
          <w:sz w:val="24"/>
          <w:szCs w:val="24"/>
        </w:rPr>
        <w:t xml:space="preserve"> associé à un </w:t>
      </w:r>
      <w:proofErr w:type="spellStart"/>
      <w:r w:rsidRPr="008D3287">
        <w:rPr>
          <w:rFonts w:asciiTheme="majorBidi" w:hAnsiTheme="majorBidi" w:cstheme="majorBidi"/>
          <w:sz w:val="24"/>
          <w:szCs w:val="24"/>
        </w:rPr>
        <w:t>oestrogène</w:t>
      </w:r>
      <w:proofErr w:type="spellEnd"/>
      <w:r w:rsidRPr="008D3287">
        <w:rPr>
          <w:rFonts w:asciiTheme="majorBidi" w:hAnsiTheme="majorBidi" w:cstheme="majorBidi"/>
          <w:sz w:val="24"/>
          <w:szCs w:val="24"/>
        </w:rPr>
        <w:t xml:space="preserve">) et en fin les traitements à base de </w:t>
      </w:r>
      <w:proofErr w:type="spellStart"/>
      <w:r w:rsidRPr="008D3287">
        <w:rPr>
          <w:rFonts w:asciiTheme="majorBidi" w:hAnsiTheme="majorBidi" w:cstheme="majorBidi"/>
          <w:sz w:val="24"/>
          <w:szCs w:val="24"/>
        </w:rPr>
        <w:t>GnRH</w:t>
      </w:r>
      <w:proofErr w:type="spellEnd"/>
      <w:r w:rsidRPr="008D3287">
        <w:rPr>
          <w:rFonts w:asciiTheme="majorBidi" w:hAnsiTheme="majorBidi" w:cstheme="majorBidi"/>
          <w:sz w:val="24"/>
          <w:szCs w:val="24"/>
        </w:rPr>
        <w:t xml:space="preserve"> pour l'induction des chaleurs chez les vaches non cyclées. Une autre part de cette variabilité, dépend des facteurs liés à l’animal (cyclicité avant traitement, </w:t>
      </w:r>
      <w:proofErr w:type="spellStart"/>
      <w:r w:rsidRPr="008D3287">
        <w:rPr>
          <w:rFonts w:asciiTheme="majorBidi" w:hAnsiTheme="majorBidi" w:cstheme="majorBidi"/>
          <w:sz w:val="24"/>
          <w:szCs w:val="24"/>
        </w:rPr>
        <w:t>age</w:t>
      </w:r>
      <w:proofErr w:type="spellEnd"/>
      <w:r w:rsidRPr="008D3287">
        <w:rPr>
          <w:rFonts w:asciiTheme="majorBidi" w:hAnsiTheme="majorBidi" w:cstheme="majorBidi"/>
          <w:sz w:val="24"/>
          <w:szCs w:val="24"/>
        </w:rPr>
        <w:t xml:space="preserve">, parité...) ou à l’environnement (alimentation, méthode de détection des chaleurs, saison...). La connaissance de ces paramètres devrait permettre l'amélioration des résultats des traitements de synchronisation des chaleurs chez les bovins afin d'atteindre l'objectif d'un </w:t>
      </w:r>
      <w:proofErr w:type="gramStart"/>
      <w:r w:rsidRPr="008D3287">
        <w:rPr>
          <w:rFonts w:asciiTheme="majorBidi" w:hAnsiTheme="majorBidi" w:cstheme="majorBidi"/>
          <w:sz w:val="24"/>
          <w:szCs w:val="24"/>
        </w:rPr>
        <w:t>veaux</w:t>
      </w:r>
      <w:proofErr w:type="gramEnd"/>
      <w:r w:rsidRPr="008D3287">
        <w:rPr>
          <w:rFonts w:asciiTheme="majorBidi" w:hAnsiTheme="majorBidi" w:cstheme="majorBidi"/>
          <w:sz w:val="24"/>
          <w:szCs w:val="24"/>
        </w:rPr>
        <w:t xml:space="preserve"> par vache et par an. A l'issue de l'enquête, il ressort que la synchronisation est beaucoup plus pratiquée chez les vaches multipares de race mixte conduites en stabulation semi entravée. Quant à la démarche diagnostique des différents troubles de la reproduction, les praticiens se basent essentiellement sur l'anamnèse et l'exploration rectale. Pour la démarche thérapeutique les vétérinaires s'appuient d'une manière irréfutable sur l'utilisation des </w:t>
      </w:r>
      <w:proofErr w:type="spellStart"/>
      <w:r w:rsidRPr="008D3287">
        <w:rPr>
          <w:rFonts w:asciiTheme="majorBidi" w:hAnsiTheme="majorBidi" w:cstheme="majorBidi"/>
          <w:sz w:val="24"/>
          <w:szCs w:val="24"/>
        </w:rPr>
        <w:t>progestagènes</w:t>
      </w:r>
      <w:proofErr w:type="spellEnd"/>
      <w:r w:rsidRPr="008D3287">
        <w:rPr>
          <w:rFonts w:asciiTheme="majorBidi" w:hAnsiTheme="majorBidi" w:cstheme="majorBidi"/>
          <w:sz w:val="24"/>
          <w:szCs w:val="24"/>
        </w:rPr>
        <w:t xml:space="preserve"> et les analogues de PGF2.</w:t>
      </w:r>
    </w:p>
    <w:p w:rsidR="00473439" w:rsidRPr="00586B1F" w:rsidRDefault="00380534" w:rsidP="005719CE">
      <w:pPr>
        <w:jc w:val="both"/>
        <w:rPr>
          <w:rFonts w:asciiTheme="majorBidi" w:hAnsiTheme="majorBidi" w:cstheme="majorBidi"/>
          <w:b/>
          <w:bCs/>
          <w:sz w:val="24"/>
          <w:szCs w:val="24"/>
          <w:lang w:val="en-US"/>
        </w:rPr>
      </w:pPr>
      <w:r w:rsidRPr="00586B1F">
        <w:rPr>
          <w:rFonts w:asciiTheme="majorBidi" w:hAnsiTheme="majorBidi" w:cstheme="majorBidi"/>
          <w:b/>
          <w:bCs/>
          <w:sz w:val="24"/>
          <w:szCs w:val="24"/>
          <w:lang w:val="en-US"/>
        </w:rPr>
        <w:t>Abstract</w:t>
      </w:r>
      <w:r w:rsidR="00473439" w:rsidRPr="00586B1F">
        <w:rPr>
          <w:rFonts w:asciiTheme="majorBidi" w:hAnsiTheme="majorBidi" w:cstheme="majorBidi"/>
          <w:b/>
          <w:bCs/>
          <w:sz w:val="24"/>
          <w:szCs w:val="24"/>
          <w:lang w:val="en-US"/>
        </w:rPr>
        <w:t>:</w:t>
      </w:r>
    </w:p>
    <w:p w:rsidR="00D935FD" w:rsidRPr="00B11231" w:rsidRDefault="00586B1F" w:rsidP="00586B1F">
      <w:pPr>
        <w:jc w:val="both"/>
        <w:rPr>
          <w:rFonts w:asciiTheme="majorBidi" w:hAnsiTheme="majorBidi" w:cstheme="majorBidi"/>
          <w:sz w:val="24"/>
          <w:szCs w:val="24"/>
          <w:lang w:val="en-US"/>
        </w:rPr>
      </w:pPr>
      <w:r w:rsidRPr="00586B1F">
        <w:rPr>
          <w:rFonts w:asciiTheme="majorBidi" w:hAnsiTheme="majorBidi" w:cstheme="majorBidi"/>
          <w:sz w:val="24"/>
          <w:szCs w:val="24"/>
          <w:lang w:val="en-US"/>
        </w:rPr>
        <w:t xml:space="preserve">The treatments of control of the cycles make it possible, in the species bovines, to synchronize heats and to inseminate groups of </w:t>
      </w:r>
      <w:proofErr w:type="gramStart"/>
      <w:r w:rsidRPr="00586B1F">
        <w:rPr>
          <w:rFonts w:asciiTheme="majorBidi" w:hAnsiTheme="majorBidi" w:cstheme="majorBidi"/>
          <w:sz w:val="24"/>
          <w:szCs w:val="24"/>
          <w:lang w:val="en-US"/>
        </w:rPr>
        <w:t>animals</w:t>
      </w:r>
      <w:proofErr w:type="gramEnd"/>
      <w:r w:rsidRPr="00586B1F">
        <w:rPr>
          <w:rFonts w:asciiTheme="majorBidi" w:hAnsiTheme="majorBidi" w:cstheme="majorBidi"/>
          <w:sz w:val="24"/>
          <w:szCs w:val="24"/>
          <w:lang w:val="en-US"/>
        </w:rPr>
        <w:t xml:space="preserve"> </w:t>
      </w:r>
      <w:proofErr w:type="spellStart"/>
      <w:r w:rsidRPr="00586B1F">
        <w:rPr>
          <w:rFonts w:asciiTheme="majorBidi" w:hAnsiTheme="majorBidi" w:cstheme="majorBidi"/>
          <w:sz w:val="24"/>
          <w:szCs w:val="24"/>
          <w:lang w:val="en-US"/>
        </w:rPr>
        <w:t>hasardly</w:t>
      </w:r>
      <w:proofErr w:type="spellEnd"/>
      <w:r w:rsidRPr="00586B1F">
        <w:rPr>
          <w:rFonts w:asciiTheme="majorBidi" w:hAnsiTheme="majorBidi" w:cstheme="majorBidi"/>
          <w:sz w:val="24"/>
          <w:szCs w:val="24"/>
          <w:lang w:val="en-US"/>
        </w:rPr>
        <w:t xml:space="preserve"> the same day. Work is thus simplified and the periods of calving can be planned. The interest of these treatments is however limited by the variability of the fertility to the induced </w:t>
      </w:r>
      <w:proofErr w:type="spellStart"/>
      <w:r w:rsidRPr="00586B1F">
        <w:rPr>
          <w:rFonts w:asciiTheme="majorBidi" w:hAnsiTheme="majorBidi" w:cstheme="majorBidi"/>
          <w:sz w:val="24"/>
          <w:szCs w:val="24"/>
          <w:lang w:val="en-US"/>
        </w:rPr>
        <w:t>oestrus</w:t>
      </w:r>
      <w:proofErr w:type="spellEnd"/>
      <w:r w:rsidRPr="00586B1F">
        <w:rPr>
          <w:rFonts w:asciiTheme="majorBidi" w:hAnsiTheme="majorBidi" w:cstheme="majorBidi"/>
          <w:sz w:val="24"/>
          <w:szCs w:val="24"/>
          <w:lang w:val="en-US"/>
        </w:rPr>
        <w:t xml:space="preserve">. A share of this variability is due to the mechanism of action of the treatment itself. Indeed several hormonal protocols make it possible to synchronize heats in the bovines. Treatments containing PG </w:t>
      </w:r>
      <w:proofErr w:type="gramStart"/>
      <w:r w:rsidRPr="00586B1F">
        <w:rPr>
          <w:rFonts w:asciiTheme="majorBidi" w:hAnsiTheme="majorBidi" w:cstheme="majorBidi"/>
          <w:sz w:val="24"/>
          <w:szCs w:val="24"/>
          <w:lang w:val="en-US"/>
        </w:rPr>
        <w:t>F2 ?</w:t>
      </w:r>
      <w:proofErr w:type="gramEnd"/>
      <w:r w:rsidRPr="00586B1F">
        <w:rPr>
          <w:rFonts w:asciiTheme="majorBidi" w:hAnsiTheme="majorBidi" w:cstheme="majorBidi"/>
          <w:sz w:val="24"/>
          <w:szCs w:val="24"/>
          <w:lang w:val="en-US"/>
        </w:rPr>
        <w:t xml:space="preserve"> </w:t>
      </w:r>
      <w:proofErr w:type="gramStart"/>
      <w:r w:rsidRPr="00586B1F">
        <w:rPr>
          <w:rFonts w:asciiTheme="majorBidi" w:hAnsiTheme="majorBidi" w:cstheme="majorBidi"/>
          <w:sz w:val="24"/>
          <w:szCs w:val="24"/>
          <w:lang w:val="en-US"/>
        </w:rPr>
        <w:t>or</w:t>
      </w:r>
      <w:proofErr w:type="gramEnd"/>
      <w:r w:rsidRPr="00586B1F">
        <w:rPr>
          <w:rFonts w:asciiTheme="majorBidi" w:hAnsiTheme="majorBidi" w:cstheme="majorBidi"/>
          <w:sz w:val="24"/>
          <w:szCs w:val="24"/>
          <w:lang w:val="en-US"/>
        </w:rPr>
        <w:t xml:space="preserve"> of its analogues (2 injections at the 11th and the 14th day), treatments associating </w:t>
      </w:r>
      <w:proofErr w:type="spellStart"/>
      <w:r w:rsidRPr="00586B1F">
        <w:rPr>
          <w:rFonts w:asciiTheme="majorBidi" w:hAnsiTheme="majorBidi" w:cstheme="majorBidi"/>
          <w:sz w:val="24"/>
          <w:szCs w:val="24"/>
          <w:lang w:val="en-US"/>
        </w:rPr>
        <w:t>GnRH</w:t>
      </w:r>
      <w:proofErr w:type="spellEnd"/>
      <w:r w:rsidRPr="00586B1F">
        <w:rPr>
          <w:rFonts w:asciiTheme="majorBidi" w:hAnsiTheme="majorBidi" w:cstheme="majorBidi"/>
          <w:sz w:val="24"/>
          <w:szCs w:val="24"/>
          <w:lang w:val="en-US"/>
        </w:rPr>
        <w:t xml:space="preserve"> and PGF2 ? (OVSYNCH®), treatments containing </w:t>
      </w:r>
      <w:proofErr w:type="spellStart"/>
      <w:r w:rsidRPr="00586B1F">
        <w:rPr>
          <w:rFonts w:asciiTheme="majorBidi" w:hAnsiTheme="majorBidi" w:cstheme="majorBidi"/>
          <w:sz w:val="24"/>
          <w:szCs w:val="24"/>
          <w:lang w:val="en-US"/>
        </w:rPr>
        <w:t>progestagenes</w:t>
      </w:r>
      <w:proofErr w:type="spellEnd"/>
      <w:r w:rsidRPr="00586B1F">
        <w:rPr>
          <w:rFonts w:asciiTheme="majorBidi" w:hAnsiTheme="majorBidi" w:cstheme="majorBidi"/>
          <w:sz w:val="24"/>
          <w:szCs w:val="24"/>
          <w:lang w:val="en-US"/>
        </w:rPr>
        <w:t xml:space="preserve">: PRID ®, CIDR ®, CRESTAR ® (device releasing from progesterone or the </w:t>
      </w:r>
      <w:proofErr w:type="spellStart"/>
      <w:r w:rsidRPr="00586B1F">
        <w:rPr>
          <w:rFonts w:asciiTheme="majorBidi" w:hAnsiTheme="majorBidi" w:cstheme="majorBidi"/>
          <w:sz w:val="24"/>
          <w:szCs w:val="24"/>
          <w:lang w:val="en-US"/>
        </w:rPr>
        <w:t>norgestomet</w:t>
      </w:r>
      <w:proofErr w:type="spellEnd"/>
      <w:r w:rsidRPr="00586B1F">
        <w:rPr>
          <w:rFonts w:asciiTheme="majorBidi" w:hAnsiTheme="majorBidi" w:cstheme="majorBidi"/>
          <w:sz w:val="24"/>
          <w:szCs w:val="24"/>
          <w:lang w:val="en-US"/>
        </w:rPr>
        <w:t xml:space="preserve"> associated an </w:t>
      </w:r>
      <w:proofErr w:type="spellStart"/>
      <w:r w:rsidRPr="00586B1F">
        <w:rPr>
          <w:rFonts w:asciiTheme="majorBidi" w:hAnsiTheme="majorBidi" w:cstheme="majorBidi"/>
          <w:sz w:val="24"/>
          <w:szCs w:val="24"/>
          <w:lang w:val="en-US"/>
        </w:rPr>
        <w:t>oestrogen</w:t>
      </w:r>
      <w:proofErr w:type="spellEnd"/>
      <w:r w:rsidRPr="00586B1F">
        <w:rPr>
          <w:rFonts w:asciiTheme="majorBidi" w:hAnsiTheme="majorBidi" w:cstheme="majorBidi"/>
          <w:sz w:val="24"/>
          <w:szCs w:val="24"/>
          <w:lang w:val="en-US"/>
        </w:rPr>
        <w:t xml:space="preserve">) at the end a treatment containing </w:t>
      </w:r>
      <w:proofErr w:type="spellStart"/>
      <w:r w:rsidRPr="00586B1F">
        <w:rPr>
          <w:rFonts w:asciiTheme="majorBidi" w:hAnsiTheme="majorBidi" w:cstheme="majorBidi"/>
          <w:sz w:val="24"/>
          <w:szCs w:val="24"/>
          <w:lang w:val="en-US"/>
        </w:rPr>
        <w:t>GnRH</w:t>
      </w:r>
      <w:proofErr w:type="spellEnd"/>
      <w:r w:rsidRPr="00586B1F">
        <w:rPr>
          <w:rFonts w:asciiTheme="majorBidi" w:hAnsiTheme="majorBidi" w:cstheme="majorBidi"/>
          <w:sz w:val="24"/>
          <w:szCs w:val="24"/>
          <w:lang w:val="en-US"/>
        </w:rPr>
        <w:t xml:space="preserve"> for the induction of heats in the cows not cycled. Another share of this variability depends on factors related on the animal (</w:t>
      </w:r>
      <w:proofErr w:type="spellStart"/>
      <w:r w:rsidRPr="00586B1F">
        <w:rPr>
          <w:rFonts w:asciiTheme="majorBidi" w:hAnsiTheme="majorBidi" w:cstheme="majorBidi"/>
          <w:sz w:val="24"/>
          <w:szCs w:val="24"/>
          <w:lang w:val="en-US"/>
        </w:rPr>
        <w:t>cyclicity</w:t>
      </w:r>
      <w:proofErr w:type="spellEnd"/>
      <w:r w:rsidRPr="00586B1F">
        <w:rPr>
          <w:rFonts w:asciiTheme="majorBidi" w:hAnsiTheme="majorBidi" w:cstheme="majorBidi"/>
          <w:sz w:val="24"/>
          <w:szCs w:val="24"/>
          <w:lang w:val="en-US"/>
        </w:rPr>
        <w:t xml:space="preserve"> before treatment, age, parity...) or to the environment (food, method of detection of heats, season....) The knowledge of these parameters would have allowed the improvement of the results of the treatment of synchronization of heats in the bovines in order to achieve the goal of calves per cow and per year. With at the end of our investigation, it arises that synchronization is </w:t>
      </w:r>
      <w:proofErr w:type="spellStart"/>
      <w:r w:rsidRPr="00586B1F">
        <w:rPr>
          <w:rFonts w:asciiTheme="majorBidi" w:hAnsiTheme="majorBidi" w:cstheme="majorBidi"/>
          <w:sz w:val="24"/>
          <w:szCs w:val="24"/>
          <w:lang w:val="en-US"/>
        </w:rPr>
        <w:t>practised</w:t>
      </w:r>
      <w:proofErr w:type="spellEnd"/>
      <w:r w:rsidRPr="00586B1F">
        <w:rPr>
          <w:rFonts w:asciiTheme="majorBidi" w:hAnsiTheme="majorBidi" w:cstheme="majorBidi"/>
          <w:sz w:val="24"/>
          <w:szCs w:val="24"/>
          <w:lang w:val="en-US"/>
        </w:rPr>
        <w:t xml:space="preserve"> much in the cows </w:t>
      </w:r>
      <w:proofErr w:type="spellStart"/>
      <w:r w:rsidRPr="00586B1F">
        <w:rPr>
          <w:rFonts w:asciiTheme="majorBidi" w:hAnsiTheme="majorBidi" w:cstheme="majorBidi"/>
          <w:sz w:val="24"/>
          <w:szCs w:val="24"/>
          <w:lang w:val="en-US"/>
        </w:rPr>
        <w:t>multipares</w:t>
      </w:r>
      <w:proofErr w:type="spellEnd"/>
      <w:r w:rsidRPr="00586B1F">
        <w:rPr>
          <w:rFonts w:asciiTheme="majorBidi" w:hAnsiTheme="majorBidi" w:cstheme="majorBidi"/>
          <w:sz w:val="24"/>
          <w:szCs w:val="24"/>
          <w:lang w:val="en-US"/>
        </w:rPr>
        <w:t xml:space="preserve"> of mixed race led in blocked semi stalling. As for the diagnostic step of the various disorders of the reproduction, our experts base themselves primarily on the </w:t>
      </w:r>
      <w:proofErr w:type="spellStart"/>
      <w:r w:rsidRPr="00586B1F">
        <w:rPr>
          <w:rFonts w:asciiTheme="majorBidi" w:hAnsiTheme="majorBidi" w:cstheme="majorBidi"/>
          <w:sz w:val="24"/>
          <w:szCs w:val="24"/>
          <w:lang w:val="en-US"/>
        </w:rPr>
        <w:t>anamnèse</w:t>
      </w:r>
      <w:proofErr w:type="spellEnd"/>
      <w:r w:rsidRPr="00586B1F">
        <w:rPr>
          <w:rFonts w:asciiTheme="majorBidi" w:hAnsiTheme="majorBidi" w:cstheme="majorBidi"/>
          <w:sz w:val="24"/>
          <w:szCs w:val="24"/>
          <w:lang w:val="en-US"/>
        </w:rPr>
        <w:t xml:space="preserve"> and rectal exploration. For the therapeutic step the veterinary surgeons use the </w:t>
      </w:r>
      <w:proofErr w:type="spellStart"/>
      <w:r w:rsidRPr="00586B1F">
        <w:rPr>
          <w:rFonts w:asciiTheme="majorBidi" w:hAnsiTheme="majorBidi" w:cstheme="majorBidi"/>
          <w:sz w:val="24"/>
          <w:szCs w:val="24"/>
          <w:lang w:val="en-US"/>
        </w:rPr>
        <w:t>progestagenes</w:t>
      </w:r>
      <w:proofErr w:type="spellEnd"/>
      <w:r w:rsidRPr="00586B1F">
        <w:rPr>
          <w:rFonts w:asciiTheme="majorBidi" w:hAnsiTheme="majorBidi" w:cstheme="majorBidi"/>
          <w:sz w:val="24"/>
          <w:szCs w:val="24"/>
          <w:lang w:val="en-US"/>
        </w:rPr>
        <w:t xml:space="preserve"> and the analogues of </w:t>
      </w:r>
      <w:proofErr w:type="gramStart"/>
      <w:r w:rsidRPr="00586B1F">
        <w:rPr>
          <w:rFonts w:asciiTheme="majorBidi" w:hAnsiTheme="majorBidi" w:cstheme="majorBidi"/>
          <w:sz w:val="24"/>
          <w:szCs w:val="24"/>
          <w:lang w:val="en-US"/>
        </w:rPr>
        <w:t>PGF2(</w:t>
      </w:r>
      <w:proofErr w:type="gramEnd"/>
      <w:r w:rsidRPr="00586B1F">
        <w:rPr>
          <w:rFonts w:asciiTheme="majorBidi" w:hAnsiTheme="majorBidi" w:cstheme="majorBidi"/>
          <w:sz w:val="24"/>
          <w:szCs w:val="24"/>
          <w:lang w:val="en-US"/>
        </w:rPr>
        <w:t>alpha).</w:t>
      </w:r>
    </w:p>
    <w:sectPr w:rsidR="00D935FD" w:rsidRPr="00B1123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D7CDD"/>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1B91"/>
    <w:rsid w:val="001943BB"/>
    <w:rsid w:val="001A2ABC"/>
    <w:rsid w:val="001A3BF2"/>
    <w:rsid w:val="001B0BBA"/>
    <w:rsid w:val="001B3597"/>
    <w:rsid w:val="001B5F10"/>
    <w:rsid w:val="001B760B"/>
    <w:rsid w:val="001B7FF5"/>
    <w:rsid w:val="001C042D"/>
    <w:rsid w:val="001C7CA2"/>
    <w:rsid w:val="001D715D"/>
    <w:rsid w:val="001E00CC"/>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2BD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84D6A"/>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719CE"/>
    <w:rsid w:val="005803A4"/>
    <w:rsid w:val="00580823"/>
    <w:rsid w:val="005808D1"/>
    <w:rsid w:val="00580FD4"/>
    <w:rsid w:val="0058352F"/>
    <w:rsid w:val="005851EE"/>
    <w:rsid w:val="0058616F"/>
    <w:rsid w:val="00586B1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1CAB"/>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519"/>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65F6"/>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040"/>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B1521"/>
    <w:rsid w:val="008B6132"/>
    <w:rsid w:val="008C362B"/>
    <w:rsid w:val="008C71D8"/>
    <w:rsid w:val="008D2D59"/>
    <w:rsid w:val="008D3287"/>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231"/>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BF5085"/>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1752D"/>
    <w:rsid w:val="00D323BC"/>
    <w:rsid w:val="00D35471"/>
    <w:rsid w:val="00D43823"/>
    <w:rsid w:val="00D51879"/>
    <w:rsid w:val="00D525C2"/>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4AB5"/>
    <w:rsid w:val="00D95429"/>
    <w:rsid w:val="00D9581B"/>
    <w:rsid w:val="00DA22C7"/>
    <w:rsid w:val="00DA26A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4857"/>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2441</TotalTime>
  <Pages>1</Pages>
  <Words>555</Words>
  <Characters>3054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741</cp:revision>
  <dcterms:created xsi:type="dcterms:W3CDTF">2019-12-10T12:38:00Z</dcterms:created>
  <dcterms:modified xsi:type="dcterms:W3CDTF">2020-12-07T08:18:00Z</dcterms:modified>
</cp:coreProperties>
</file>