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BF9" w:rsidRDefault="001B3597" w:rsidP="00364BF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364BF9" w:rsidRPr="00364BF9">
        <w:rPr>
          <w:rFonts w:asciiTheme="majorBidi" w:hAnsiTheme="majorBidi" w:cstheme="majorBidi"/>
          <w:b/>
          <w:bCs/>
          <w:sz w:val="28"/>
          <w:szCs w:val="28"/>
        </w:rPr>
        <w:t xml:space="preserve">Situation </w:t>
      </w:r>
      <w:proofErr w:type="spellStart"/>
      <w:r w:rsidR="00364BF9" w:rsidRPr="00364BF9">
        <w:rPr>
          <w:rFonts w:asciiTheme="majorBidi" w:hAnsiTheme="majorBidi" w:cstheme="majorBidi"/>
          <w:b/>
          <w:bCs/>
          <w:sz w:val="28"/>
          <w:szCs w:val="28"/>
        </w:rPr>
        <w:t>épidemiologique</w:t>
      </w:r>
      <w:proofErr w:type="spellEnd"/>
      <w:r w:rsidR="00364BF9" w:rsidRPr="00364BF9">
        <w:rPr>
          <w:rFonts w:asciiTheme="majorBidi" w:hAnsiTheme="majorBidi" w:cstheme="majorBidi"/>
          <w:b/>
          <w:bCs/>
          <w:sz w:val="28"/>
          <w:szCs w:val="28"/>
        </w:rPr>
        <w:t xml:space="preserve"> de la fièvre aphteuse dans la wilaya de Ghardaïa durant l’épizootie de 2018 -2019 </w:t>
      </w:r>
    </w:p>
    <w:p w:rsidR="0090358A" w:rsidRDefault="0090358A" w:rsidP="00364BF9">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14BDB" w:rsidRPr="00364BF9" w:rsidRDefault="00364BF9" w:rsidP="00364BF9">
      <w:pPr>
        <w:rPr>
          <w:rFonts w:asciiTheme="majorBidi" w:hAnsiTheme="majorBidi" w:cstheme="majorBidi"/>
          <w:sz w:val="24"/>
          <w:szCs w:val="24"/>
          <w:lang w:val="en-US"/>
        </w:rPr>
      </w:pPr>
      <w:r w:rsidRPr="00364BF9">
        <w:rPr>
          <w:rFonts w:asciiTheme="majorBidi" w:hAnsiTheme="majorBidi" w:cstheme="majorBidi"/>
          <w:sz w:val="24"/>
          <w:szCs w:val="24"/>
        </w:rPr>
        <w:t>La fièvre aphteuse (FA) est une maladie virale très contagieuse du bétail qui cause d’énormes pertes économiques. Elle affecte les mammifères artiodactyles domestiques et sauvages. Malgré les mesures sanitaires et prophylactiques appliquées, La maladie sévit toujours dans notre territoire.</w:t>
      </w:r>
      <w:r w:rsidRPr="00364BF9">
        <w:rPr>
          <w:rFonts w:asciiTheme="majorBidi" w:hAnsiTheme="majorBidi" w:cstheme="majorBidi"/>
          <w:sz w:val="24"/>
          <w:szCs w:val="24"/>
        </w:rPr>
        <w:br/>
        <w:t xml:space="preserve">La wilaya de Ghardaïa a été parmi les régions algériennes touchées par l’épidémie de FA et de durant l’année 2018 et 2019. </w:t>
      </w:r>
      <w:r w:rsidRPr="00364BF9">
        <w:rPr>
          <w:rFonts w:asciiTheme="majorBidi" w:hAnsiTheme="majorBidi" w:cstheme="majorBidi"/>
          <w:sz w:val="24"/>
          <w:szCs w:val="24"/>
        </w:rPr>
        <w:br/>
        <w:t xml:space="preserve">Notre étude consiste en une présentation rétrospective de l’évolution épidémiologique la fièvre aphteuse, Leur principales caractéristiques épidémiologiques et les mesures prises en charge pour contenir la maladie. La répartition des foyers de FA a été enregistrée entre le mois d’Août et mois d’Avril. Nous avons également </w:t>
      </w:r>
      <w:proofErr w:type="spellStart"/>
      <w:r w:rsidRPr="00364BF9">
        <w:rPr>
          <w:rFonts w:asciiTheme="majorBidi" w:hAnsiTheme="majorBidi" w:cstheme="majorBidi"/>
          <w:sz w:val="24"/>
          <w:szCs w:val="24"/>
        </w:rPr>
        <w:t>étudiéle</w:t>
      </w:r>
      <w:proofErr w:type="spellEnd"/>
      <w:r w:rsidRPr="00364BF9">
        <w:rPr>
          <w:rFonts w:asciiTheme="majorBidi" w:hAnsiTheme="majorBidi" w:cstheme="majorBidi"/>
          <w:sz w:val="24"/>
          <w:szCs w:val="24"/>
        </w:rPr>
        <w:t xml:space="preserve"> </w:t>
      </w:r>
      <w:proofErr w:type="spellStart"/>
      <w:r w:rsidRPr="00364BF9">
        <w:rPr>
          <w:rFonts w:asciiTheme="majorBidi" w:hAnsiTheme="majorBidi" w:cstheme="majorBidi"/>
          <w:sz w:val="24"/>
          <w:szCs w:val="24"/>
        </w:rPr>
        <w:t>rôlede</w:t>
      </w:r>
      <w:proofErr w:type="spellEnd"/>
      <w:r w:rsidRPr="00364BF9">
        <w:rPr>
          <w:rFonts w:asciiTheme="majorBidi" w:hAnsiTheme="majorBidi" w:cstheme="majorBidi"/>
          <w:sz w:val="24"/>
          <w:szCs w:val="24"/>
        </w:rPr>
        <w:t xml:space="preserve"> climat, le mode d’élevage, l’introduction de nouveaux animaux de statut sanitaire inconnu dans la transmission du virus. La mortalité a été observée majoritairement chez les jeunes (93,1%). En effet, il a été noté un taux de mortalité de (58,3%) chez les ovins et (22,6%) chez les caprins, alors qu’aucune mortalité n’a été enregistrée chez les bovins. D’un autre côté, un taux de morbidités de (98%) a été enregistré chez les bovins. </w:t>
      </w:r>
      <w:r w:rsidRPr="00364BF9">
        <w:rPr>
          <w:rFonts w:asciiTheme="majorBidi" w:hAnsiTheme="majorBidi" w:cstheme="majorBidi"/>
          <w:sz w:val="24"/>
          <w:szCs w:val="24"/>
          <w:lang w:val="en-US"/>
        </w:rPr>
        <w:t xml:space="preserve">Et </w:t>
      </w:r>
      <w:proofErr w:type="spellStart"/>
      <w:r w:rsidRPr="00364BF9">
        <w:rPr>
          <w:rFonts w:asciiTheme="majorBidi" w:hAnsiTheme="majorBidi" w:cstheme="majorBidi"/>
          <w:sz w:val="24"/>
          <w:szCs w:val="24"/>
          <w:lang w:val="en-US"/>
        </w:rPr>
        <w:t>untaux</w:t>
      </w:r>
      <w:proofErr w:type="spellEnd"/>
      <w:r w:rsidRPr="00364BF9">
        <w:rPr>
          <w:rFonts w:asciiTheme="majorBidi" w:hAnsiTheme="majorBidi" w:cstheme="majorBidi"/>
          <w:sz w:val="24"/>
          <w:szCs w:val="24"/>
          <w:lang w:val="en-US"/>
        </w:rPr>
        <w:t xml:space="preserve"> </w:t>
      </w:r>
      <w:proofErr w:type="spellStart"/>
      <w:r w:rsidRPr="00364BF9">
        <w:rPr>
          <w:rFonts w:asciiTheme="majorBidi" w:hAnsiTheme="majorBidi" w:cstheme="majorBidi"/>
          <w:sz w:val="24"/>
          <w:szCs w:val="24"/>
          <w:lang w:val="en-US"/>
        </w:rPr>
        <w:t>faible</w:t>
      </w:r>
      <w:proofErr w:type="spellEnd"/>
      <w:r w:rsidRPr="00364BF9">
        <w:rPr>
          <w:rFonts w:asciiTheme="majorBidi" w:hAnsiTheme="majorBidi" w:cstheme="majorBidi"/>
          <w:sz w:val="24"/>
          <w:szCs w:val="24"/>
          <w:lang w:val="en-US"/>
        </w:rPr>
        <w:t xml:space="preserve"> </w:t>
      </w:r>
      <w:proofErr w:type="spellStart"/>
      <w:r w:rsidRPr="00364BF9">
        <w:rPr>
          <w:rFonts w:asciiTheme="majorBidi" w:hAnsiTheme="majorBidi" w:cstheme="majorBidi"/>
          <w:sz w:val="24"/>
          <w:szCs w:val="24"/>
          <w:lang w:val="en-US"/>
        </w:rPr>
        <w:t>d’avortementa</w:t>
      </w:r>
      <w:proofErr w:type="spellEnd"/>
      <w:r w:rsidRPr="00364BF9">
        <w:rPr>
          <w:rFonts w:asciiTheme="majorBidi" w:hAnsiTheme="majorBidi" w:cstheme="majorBidi"/>
          <w:sz w:val="24"/>
          <w:szCs w:val="24"/>
          <w:lang w:val="en-US"/>
        </w:rPr>
        <w:t xml:space="preserve"> </w:t>
      </w:r>
      <w:proofErr w:type="spellStart"/>
      <w:r w:rsidRPr="00364BF9">
        <w:rPr>
          <w:rFonts w:asciiTheme="majorBidi" w:hAnsiTheme="majorBidi" w:cstheme="majorBidi"/>
          <w:sz w:val="24"/>
          <w:szCs w:val="24"/>
          <w:lang w:val="en-US"/>
        </w:rPr>
        <w:t>été</w:t>
      </w:r>
      <w:proofErr w:type="spellEnd"/>
      <w:r w:rsidRPr="00364BF9">
        <w:rPr>
          <w:rFonts w:asciiTheme="majorBidi" w:hAnsiTheme="majorBidi" w:cstheme="majorBidi"/>
          <w:sz w:val="24"/>
          <w:szCs w:val="24"/>
          <w:lang w:val="en-US"/>
        </w:rPr>
        <w:t xml:space="preserve"> </w:t>
      </w:r>
      <w:proofErr w:type="spellStart"/>
      <w:r w:rsidRPr="00364BF9">
        <w:rPr>
          <w:rFonts w:asciiTheme="majorBidi" w:hAnsiTheme="majorBidi" w:cstheme="majorBidi"/>
          <w:sz w:val="24"/>
          <w:szCs w:val="24"/>
          <w:lang w:val="en-US"/>
        </w:rPr>
        <w:t>révélé</w:t>
      </w:r>
      <w:proofErr w:type="spellEnd"/>
      <w:r w:rsidRPr="00364BF9">
        <w:rPr>
          <w:rFonts w:asciiTheme="majorBidi" w:hAnsiTheme="majorBidi" w:cstheme="majorBidi"/>
          <w:sz w:val="24"/>
          <w:szCs w:val="24"/>
          <w:lang w:val="en-US"/>
        </w:rPr>
        <w:t xml:space="preserve"> </w:t>
      </w:r>
      <w:proofErr w:type="spellStart"/>
      <w:r w:rsidRPr="00364BF9">
        <w:rPr>
          <w:rFonts w:asciiTheme="majorBidi" w:hAnsiTheme="majorBidi" w:cstheme="majorBidi"/>
          <w:sz w:val="24"/>
          <w:szCs w:val="24"/>
          <w:lang w:val="en-US"/>
        </w:rPr>
        <w:t>dans</w:t>
      </w:r>
      <w:proofErr w:type="spellEnd"/>
      <w:r w:rsidRPr="00364BF9">
        <w:rPr>
          <w:rFonts w:asciiTheme="majorBidi" w:hAnsiTheme="majorBidi" w:cstheme="majorBidi"/>
          <w:sz w:val="24"/>
          <w:szCs w:val="24"/>
          <w:lang w:val="en-US"/>
        </w:rPr>
        <w:t xml:space="preserve"> </w:t>
      </w:r>
      <w:proofErr w:type="spellStart"/>
      <w:r w:rsidRPr="00364BF9">
        <w:rPr>
          <w:rFonts w:asciiTheme="majorBidi" w:hAnsiTheme="majorBidi" w:cstheme="majorBidi"/>
          <w:sz w:val="24"/>
          <w:szCs w:val="24"/>
          <w:lang w:val="en-US"/>
        </w:rPr>
        <w:t>cette</w:t>
      </w:r>
      <w:proofErr w:type="spellEnd"/>
      <w:r w:rsidRPr="00364BF9">
        <w:rPr>
          <w:rFonts w:asciiTheme="majorBidi" w:hAnsiTheme="majorBidi" w:cstheme="majorBidi"/>
          <w:sz w:val="24"/>
          <w:szCs w:val="24"/>
          <w:lang w:val="en-US"/>
        </w:rPr>
        <w:t xml:space="preserve"> </w:t>
      </w:r>
      <w:proofErr w:type="spellStart"/>
      <w:r w:rsidRPr="00364BF9">
        <w:rPr>
          <w:rFonts w:asciiTheme="majorBidi" w:hAnsiTheme="majorBidi" w:cstheme="majorBidi"/>
          <w:sz w:val="24"/>
          <w:szCs w:val="24"/>
          <w:lang w:val="en-US"/>
        </w:rPr>
        <w:t>étude</w:t>
      </w:r>
      <w:proofErr w:type="spellEnd"/>
      <w:r w:rsidRPr="00364BF9">
        <w:rPr>
          <w:rFonts w:asciiTheme="majorBidi" w:hAnsiTheme="majorBidi" w:cstheme="majorBidi"/>
          <w:sz w:val="24"/>
          <w:szCs w:val="24"/>
          <w:lang w:val="en-US"/>
        </w:rPr>
        <w:t xml:space="preserve"> (3</w:t>
      </w:r>
      <w:proofErr w:type="gramStart"/>
      <w:r w:rsidRPr="00364BF9">
        <w:rPr>
          <w:rFonts w:asciiTheme="majorBidi" w:hAnsiTheme="majorBidi" w:cstheme="majorBidi"/>
          <w:sz w:val="24"/>
          <w:szCs w:val="24"/>
          <w:lang w:val="en-US"/>
        </w:rPr>
        <w:t>,2</w:t>
      </w:r>
      <w:proofErr w:type="gramEnd"/>
      <w:r w:rsidRPr="00364BF9">
        <w:rPr>
          <w:rFonts w:asciiTheme="majorBidi" w:hAnsiTheme="majorBidi" w:cstheme="majorBidi"/>
          <w:sz w:val="24"/>
          <w:szCs w:val="24"/>
          <w:lang w:val="en-US"/>
        </w:rPr>
        <w:t>%).</w:t>
      </w:r>
      <w:r w:rsidRPr="00364BF9">
        <w:rPr>
          <w:rFonts w:asciiTheme="majorBidi" w:hAnsiTheme="majorBidi" w:cstheme="majorBidi"/>
          <w:sz w:val="24"/>
          <w:szCs w:val="24"/>
          <w:lang w:val="en-US"/>
        </w:rPr>
        <w:br/>
      </w:r>
      <w:r w:rsidRPr="00364BF9">
        <w:rPr>
          <w:rFonts w:asciiTheme="majorBidi" w:hAnsiTheme="majorBidi" w:cstheme="majorBidi"/>
          <w:sz w:val="24"/>
          <w:szCs w:val="24"/>
          <w:lang w:val="en-US"/>
        </w:rPr>
        <w:br/>
      </w:r>
      <w:r w:rsidRPr="00364BF9">
        <w:rPr>
          <w:rFonts w:asciiTheme="majorBidi" w:hAnsiTheme="majorBidi" w:cstheme="majorBidi"/>
          <w:sz w:val="24"/>
          <w:szCs w:val="24"/>
          <w:lang w:val="en-US"/>
        </w:rPr>
        <w:br/>
      </w:r>
      <w:bookmarkStart w:id="0" w:name="_GoBack"/>
      <w:proofErr w:type="gramStart"/>
      <w:r w:rsidRPr="00364BF9">
        <w:rPr>
          <w:rFonts w:asciiTheme="majorBidi" w:hAnsiTheme="majorBidi" w:cstheme="majorBidi"/>
          <w:b/>
          <w:bCs/>
          <w:sz w:val="24"/>
          <w:szCs w:val="24"/>
          <w:lang w:val="en-US"/>
        </w:rPr>
        <w:t>Abstract</w:t>
      </w:r>
      <w:r w:rsidRPr="00364BF9">
        <w:rPr>
          <w:rFonts w:asciiTheme="majorBidi" w:hAnsiTheme="majorBidi" w:cstheme="majorBidi"/>
          <w:sz w:val="24"/>
          <w:szCs w:val="24"/>
          <w:lang w:val="en-US"/>
        </w:rPr>
        <w:t xml:space="preserve"> </w:t>
      </w:r>
      <w:bookmarkEnd w:id="0"/>
      <w:r w:rsidRPr="00364BF9">
        <w:rPr>
          <w:rFonts w:asciiTheme="majorBidi" w:hAnsiTheme="majorBidi" w:cstheme="majorBidi"/>
          <w:sz w:val="24"/>
          <w:szCs w:val="24"/>
          <w:lang w:val="en-US"/>
        </w:rPr>
        <w:t>:</w:t>
      </w:r>
      <w:proofErr w:type="gramEnd"/>
      <w:r w:rsidRPr="00364BF9">
        <w:rPr>
          <w:rFonts w:asciiTheme="majorBidi" w:hAnsiTheme="majorBidi" w:cstheme="majorBidi"/>
          <w:sz w:val="24"/>
          <w:szCs w:val="24"/>
          <w:lang w:val="en-US"/>
        </w:rPr>
        <w:br/>
      </w:r>
      <w:r w:rsidRPr="00364BF9">
        <w:rPr>
          <w:rFonts w:asciiTheme="majorBidi" w:hAnsiTheme="majorBidi" w:cstheme="majorBidi"/>
          <w:sz w:val="24"/>
          <w:szCs w:val="24"/>
          <w:lang w:val="en-US"/>
        </w:rPr>
        <w:br/>
        <w:t>Foot-and-mouth disease (FMD) is a highly contagious viral disease of livestock that causes enormous economic losses. It affects both domestic and wild artiodactyl mammals. Despite the sanitary and prophylactic measures applied, the disease is still raging in our territory.</w:t>
      </w:r>
      <w:r w:rsidRPr="00364BF9">
        <w:rPr>
          <w:rFonts w:asciiTheme="majorBidi" w:hAnsiTheme="majorBidi" w:cstheme="majorBidi"/>
          <w:sz w:val="24"/>
          <w:szCs w:val="24"/>
          <w:lang w:val="en-US"/>
        </w:rPr>
        <w:br/>
        <w:t xml:space="preserve">The </w:t>
      </w:r>
      <w:proofErr w:type="spellStart"/>
      <w:r w:rsidRPr="00364BF9">
        <w:rPr>
          <w:rFonts w:asciiTheme="majorBidi" w:hAnsiTheme="majorBidi" w:cstheme="majorBidi"/>
          <w:sz w:val="24"/>
          <w:szCs w:val="24"/>
          <w:lang w:val="en-US"/>
        </w:rPr>
        <w:t>wilaya</w:t>
      </w:r>
      <w:proofErr w:type="spellEnd"/>
      <w:r w:rsidRPr="00364BF9">
        <w:rPr>
          <w:rFonts w:asciiTheme="majorBidi" w:hAnsiTheme="majorBidi" w:cstheme="majorBidi"/>
          <w:sz w:val="24"/>
          <w:szCs w:val="24"/>
          <w:lang w:val="en-US"/>
        </w:rPr>
        <w:t xml:space="preserve"> of </w:t>
      </w:r>
      <w:proofErr w:type="spellStart"/>
      <w:r w:rsidRPr="00364BF9">
        <w:rPr>
          <w:rFonts w:asciiTheme="majorBidi" w:hAnsiTheme="majorBidi" w:cstheme="majorBidi"/>
          <w:sz w:val="24"/>
          <w:szCs w:val="24"/>
          <w:lang w:val="en-US"/>
        </w:rPr>
        <w:t>Ghardaïa</w:t>
      </w:r>
      <w:proofErr w:type="spellEnd"/>
      <w:r w:rsidRPr="00364BF9">
        <w:rPr>
          <w:rFonts w:asciiTheme="majorBidi" w:hAnsiTheme="majorBidi" w:cstheme="majorBidi"/>
          <w:sz w:val="24"/>
          <w:szCs w:val="24"/>
          <w:lang w:val="en-US"/>
        </w:rPr>
        <w:t xml:space="preserve"> was among the Algerian regions affected by the FMD epidemic and during the years 2018 and 2019.</w:t>
      </w:r>
      <w:r w:rsidRPr="00364BF9">
        <w:rPr>
          <w:rFonts w:asciiTheme="majorBidi" w:hAnsiTheme="majorBidi" w:cstheme="majorBidi"/>
          <w:sz w:val="24"/>
          <w:szCs w:val="24"/>
          <w:lang w:val="en-US"/>
        </w:rPr>
        <w:br/>
        <w:t>Our study consists of a retrospective presentation of the epidemiological evolution of foot-and-mouth disease, their main epidemiological characteristics and the measures taken to contain the disease. The distribution of AF outbreaks was recorded between August and April. We also studied the role of climate, the method of breeding, the introduction of new animals of unknown health status in the transmission of the virus. Mortality was observed mainly in young people (93.1%). Indeed, a mortality rate of (58.3%) in sheep and (22.6%) in goats was noted, while no mortality was recorded in cattle. On the other hand, a disease rate of (98%) has been recorded in cattle. And a low abortion rate was found in this study (3.2%).</w:t>
      </w:r>
    </w:p>
    <w:sectPr w:rsidR="00014BDB" w:rsidRPr="00364BF9"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3857"/>
    <w:rsid w:val="000D41E0"/>
    <w:rsid w:val="000D4A8D"/>
    <w:rsid w:val="000D692F"/>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433A"/>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64BF9"/>
    <w:rsid w:val="00381355"/>
    <w:rsid w:val="00383169"/>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E4DE9"/>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74102"/>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492A"/>
    <w:rsid w:val="00AB6A2A"/>
    <w:rsid w:val="00AB757E"/>
    <w:rsid w:val="00AC3907"/>
    <w:rsid w:val="00AD3CFC"/>
    <w:rsid w:val="00AD4549"/>
    <w:rsid w:val="00AE46E9"/>
    <w:rsid w:val="00AE6B7E"/>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4C27"/>
    <w:rsid w:val="00D43823"/>
    <w:rsid w:val="00D53FD0"/>
    <w:rsid w:val="00D541C4"/>
    <w:rsid w:val="00D61335"/>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390</Words>
  <Characters>2148</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11</cp:revision>
  <dcterms:created xsi:type="dcterms:W3CDTF">2021-01-31T12:41:00Z</dcterms:created>
  <dcterms:modified xsi:type="dcterms:W3CDTF">2021-02-01T09:06:00Z</dcterms:modified>
</cp:coreProperties>
</file>