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80" w:rsidRDefault="00A60B80" w:rsidP="00A60B8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sidR="001D2B6E">
        <w:rPr>
          <w:rFonts w:asciiTheme="majorBidi" w:hAnsiTheme="majorBidi" w:cstheme="majorBidi"/>
          <w:b/>
          <w:bCs/>
          <w:color w:val="000000"/>
          <w:sz w:val="28"/>
          <w:szCs w:val="28"/>
          <w:shd w:val="clear" w:color="auto" w:fill="FFFFFF"/>
        </w:rPr>
        <w:t xml:space="preserve">Mr </w:t>
      </w:r>
      <w:r w:rsidRPr="00A60B80">
        <w:rPr>
          <w:rFonts w:asciiTheme="majorBidi" w:hAnsiTheme="majorBidi" w:cstheme="majorBidi"/>
          <w:b/>
          <w:bCs/>
          <w:color w:val="000000"/>
          <w:sz w:val="28"/>
          <w:szCs w:val="28"/>
          <w:shd w:val="clear" w:color="auto" w:fill="FFFFFF"/>
        </w:rPr>
        <w:t>Kernif Tahar</w:t>
      </w:r>
    </w:p>
    <w:p w:rsidR="00A60B80" w:rsidRDefault="00A60B80" w:rsidP="00A60B80">
      <w:pPr>
        <w:jc w:val="center"/>
        <w:rPr>
          <w:rFonts w:asciiTheme="majorBidi" w:hAnsiTheme="majorBidi" w:cstheme="majorBidi"/>
          <w:b/>
          <w:bCs/>
          <w:color w:val="000000"/>
          <w:sz w:val="28"/>
          <w:szCs w:val="28"/>
          <w:shd w:val="clear" w:color="auto" w:fill="FFFFFF"/>
        </w:rPr>
      </w:pPr>
      <w:r w:rsidRPr="00A60B80">
        <w:rPr>
          <w:rFonts w:asciiTheme="majorBidi" w:hAnsiTheme="majorBidi" w:cstheme="majorBidi"/>
          <w:b/>
          <w:bCs/>
          <w:color w:val="000000"/>
          <w:sz w:val="28"/>
          <w:szCs w:val="28"/>
          <w:shd w:val="clear" w:color="auto" w:fill="FFFFFF"/>
        </w:rPr>
        <w:t xml:space="preserve">Contribution à l'étude des réservoirs et des vecteurs des agents des rickettsioses (par des techniques moléculaires) et des piroplasmoses dans la région d'Alger </w:t>
      </w:r>
    </w:p>
    <w:p w:rsidR="00A60B80" w:rsidRDefault="00A60B80" w:rsidP="00A60B8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07</w:t>
      </w:r>
    </w:p>
    <w:p w:rsidR="00A60B80" w:rsidRDefault="00A60B80" w:rsidP="00A60B80">
      <w:pPr>
        <w:rPr>
          <w:rFonts w:asciiTheme="majorBidi" w:hAnsiTheme="majorBidi" w:cstheme="majorBidi"/>
          <w:b/>
          <w:bCs/>
          <w:sz w:val="24"/>
          <w:szCs w:val="24"/>
        </w:rPr>
      </w:pPr>
    </w:p>
    <w:p w:rsidR="00A60B80" w:rsidRDefault="00A60B80">
      <w:pPr>
        <w:rPr>
          <w:rFonts w:asciiTheme="majorBidi" w:hAnsiTheme="majorBidi" w:cstheme="majorBidi"/>
          <w:sz w:val="24"/>
          <w:szCs w:val="24"/>
        </w:rPr>
      </w:pPr>
      <w:r w:rsidRPr="00A60B80">
        <w:rPr>
          <w:rFonts w:asciiTheme="majorBidi" w:hAnsiTheme="majorBidi" w:cstheme="majorBidi"/>
          <w:b/>
          <w:bCs/>
          <w:sz w:val="24"/>
          <w:szCs w:val="24"/>
        </w:rPr>
        <w:t>Résumé</w:t>
      </w:r>
      <w:r w:rsidRPr="00A60B80">
        <w:rPr>
          <w:rFonts w:asciiTheme="majorBidi" w:hAnsiTheme="majorBidi" w:cstheme="majorBidi"/>
          <w:sz w:val="24"/>
          <w:szCs w:val="24"/>
        </w:rPr>
        <w:t xml:space="preserve"> : </w:t>
      </w:r>
    </w:p>
    <w:p w:rsidR="00A60B80" w:rsidRDefault="00A60B80" w:rsidP="00A60B80">
      <w:pPr>
        <w:rPr>
          <w:rFonts w:asciiTheme="majorBidi" w:hAnsiTheme="majorBidi" w:cstheme="majorBidi"/>
          <w:sz w:val="24"/>
          <w:szCs w:val="24"/>
          <w:lang w:val="en-US"/>
        </w:rPr>
      </w:pPr>
      <w:r w:rsidRPr="00A60B80">
        <w:rPr>
          <w:rFonts w:asciiTheme="majorBidi" w:hAnsiTheme="majorBidi" w:cstheme="majorBidi"/>
          <w:sz w:val="24"/>
          <w:szCs w:val="24"/>
        </w:rPr>
        <w:t>220 prélèvements sanguins de chiens (réservoirs des piroplasmoses et des rickettsioses) ont été réalisés dans la région d’Alger de Novembre 2005 à Juin 2006. La détection des Rickettsies par PCR a été réalisée sur des tiques de chiens et de hérissons et sur des puces de chiens et de rongeurs péri domestiques. En vue de démontrer la transmission des rickettsies à leur descendance, des analyses par PCR ont été réalisées sur les différents stades évolutifs des tiques. Sur les 220 frottis sanguins, nous avons trouvé 13 cas de Babesia (5.9%). Sur 80 prélèvements de sang analysés par PCR, 34 (42,5%) renfermaient différents agents de rickettsioses. Ces différents agents ont été également mis en évidence dans les tiques et les puces. La transmission trans-ovarienne et trans-stadiale de Rickettsia conorii chez les tiques de l’espèce Rhipicephalus sanguineus, a été prouvée par PCR.</w:t>
      </w:r>
      <w:r w:rsidRPr="00A60B80">
        <w:rPr>
          <w:rFonts w:asciiTheme="majorBidi" w:hAnsiTheme="majorBidi" w:cstheme="majorBidi"/>
          <w:sz w:val="24"/>
          <w:szCs w:val="24"/>
        </w:rPr>
        <w:br/>
      </w:r>
      <w:r w:rsidRPr="00A60B80">
        <w:rPr>
          <w:rFonts w:asciiTheme="majorBidi" w:hAnsiTheme="majorBidi" w:cstheme="majorBidi"/>
          <w:sz w:val="24"/>
          <w:szCs w:val="24"/>
        </w:rPr>
        <w:br/>
      </w:r>
      <w:r w:rsidRPr="00A60B80">
        <w:rPr>
          <w:rFonts w:asciiTheme="majorBidi" w:hAnsiTheme="majorBidi" w:cstheme="majorBidi"/>
          <w:sz w:val="24"/>
          <w:szCs w:val="24"/>
        </w:rPr>
        <w:br/>
      </w:r>
      <w:r w:rsidRPr="00A60B80">
        <w:rPr>
          <w:rFonts w:asciiTheme="majorBidi" w:hAnsiTheme="majorBidi" w:cstheme="majorBidi"/>
          <w:sz w:val="24"/>
          <w:szCs w:val="24"/>
        </w:rPr>
        <w:br/>
      </w:r>
      <w:r w:rsidRPr="00A60B80">
        <w:rPr>
          <w:rFonts w:asciiTheme="majorBidi" w:hAnsiTheme="majorBidi" w:cstheme="majorBidi"/>
          <w:b/>
          <w:bCs/>
          <w:sz w:val="24"/>
          <w:szCs w:val="24"/>
          <w:lang w:val="en-US"/>
        </w:rPr>
        <w:t>Abstract:</w:t>
      </w:r>
    </w:p>
    <w:p w:rsidR="00A60B80" w:rsidRPr="00A60B80" w:rsidRDefault="00A60B80" w:rsidP="00A60B80">
      <w:pPr>
        <w:rPr>
          <w:rFonts w:asciiTheme="majorBidi" w:hAnsiTheme="majorBidi" w:cstheme="majorBidi"/>
          <w:sz w:val="24"/>
          <w:szCs w:val="24"/>
          <w:lang w:val="en-US"/>
        </w:rPr>
      </w:pPr>
      <w:r w:rsidRPr="00A60B80">
        <w:rPr>
          <w:rFonts w:asciiTheme="majorBidi" w:hAnsiTheme="majorBidi" w:cstheme="majorBidi"/>
          <w:sz w:val="24"/>
          <w:szCs w:val="24"/>
          <w:lang w:val="en-US"/>
        </w:rPr>
        <w:br/>
        <w:t>220 blood taking away of dogs (reservoirs of piroplasmosis and rickettsiosis) were carried out in the area of Algiers between November 2005 and June 2006. The detection of Rickettsies by PCR was carried out on ticks of dogs and hedgehogs and on fleas of dogs and rodents peridomestic. In order to show the transmission of the rickettsies to their descent, by PCR were realized on the various stages of the ticks. On the 220 blood smears, we found 13 case of Babesia (5.9%), and on the 80 taking away of blood analyzed by PCR, 34 (42,5%) contained various agents of rickettsiosis. These various agents were also highlighted in the ticks and the fleas. The trans-ovarienne and trans-stadiale transmission of Rickettsia conorii in the ticks of the species Rhipicephalus sanguineus was proved by PCR.</w:t>
      </w:r>
    </w:p>
    <w:p w:rsidR="00A60B80" w:rsidRPr="00A60B80" w:rsidRDefault="00A60B80">
      <w:pPr>
        <w:rPr>
          <w:lang w:val="en-US"/>
        </w:rPr>
      </w:pPr>
    </w:p>
    <w:sectPr w:rsidR="00A60B80" w:rsidRPr="00A60B80" w:rsidSect="00930E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60B80"/>
    <w:rsid w:val="001D2B6E"/>
    <w:rsid w:val="00930E79"/>
    <w:rsid w:val="00A60B80"/>
    <w:rsid w:val="00CC1F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60B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2019-11-25T08:50:00Z</dcterms:created>
  <dcterms:modified xsi:type="dcterms:W3CDTF">2019-11-25T08:53:00Z</dcterms:modified>
</cp:coreProperties>
</file>