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E64E0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E64E0B" w:rsidRPr="00E64E0B">
        <w:rPr>
          <w:rFonts w:asciiTheme="majorBidi" w:hAnsiTheme="majorBidi" w:cstheme="majorBidi"/>
          <w:b/>
          <w:bCs/>
          <w:sz w:val="28"/>
          <w:szCs w:val="28"/>
        </w:rPr>
        <w:t>Contribution à l’étiologie du prolapsus vaginale chez la vache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E64E0B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579</cp:revision>
  <dcterms:created xsi:type="dcterms:W3CDTF">2019-12-10T12:38:00Z</dcterms:created>
  <dcterms:modified xsi:type="dcterms:W3CDTF">2023-09-11T09:11:00Z</dcterms:modified>
</cp:coreProperties>
</file>