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B7" w:rsidRDefault="001B3597" w:rsidP="001429FC">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1429FC" w:rsidRPr="001429FC">
        <w:rPr>
          <w:rFonts w:ascii="Times New Roman" w:hAnsi="Times New Roman" w:cs="Times New Roman"/>
          <w:b/>
          <w:bCs/>
          <w:color w:val="000000"/>
          <w:sz w:val="36"/>
          <w:szCs w:val="36"/>
        </w:rPr>
        <w:t>Recherche des entérobactérie et des parasites intestinaux chez l'</w:t>
      </w:r>
      <w:proofErr w:type="spellStart"/>
      <w:r w:rsidR="001429FC" w:rsidRPr="001429FC">
        <w:rPr>
          <w:rFonts w:ascii="Times New Roman" w:hAnsi="Times New Roman" w:cs="Times New Roman"/>
          <w:b/>
          <w:bCs/>
          <w:color w:val="000000"/>
          <w:sz w:val="36"/>
          <w:szCs w:val="36"/>
        </w:rPr>
        <w:t>etourneau</w:t>
      </w:r>
      <w:proofErr w:type="spellEnd"/>
      <w:r w:rsidR="001429FC" w:rsidRPr="001429FC">
        <w:rPr>
          <w:rFonts w:ascii="Times New Roman" w:hAnsi="Times New Roman" w:cs="Times New Roman"/>
          <w:b/>
          <w:bCs/>
          <w:color w:val="000000"/>
          <w:sz w:val="36"/>
          <w:szCs w:val="36"/>
        </w:rPr>
        <w:t xml:space="preserve"> sansonnet </w:t>
      </w:r>
      <w:proofErr w:type="spellStart"/>
      <w:r w:rsidR="001429FC" w:rsidRPr="001429FC">
        <w:rPr>
          <w:rFonts w:ascii="Times New Roman" w:hAnsi="Times New Roman" w:cs="Times New Roman"/>
          <w:b/>
          <w:bCs/>
          <w:color w:val="000000"/>
          <w:sz w:val="36"/>
          <w:szCs w:val="36"/>
        </w:rPr>
        <w:t>Sturnus</w:t>
      </w:r>
      <w:proofErr w:type="spellEnd"/>
      <w:r w:rsidR="001429FC" w:rsidRPr="001429FC">
        <w:rPr>
          <w:rFonts w:ascii="Times New Roman" w:hAnsi="Times New Roman" w:cs="Times New Roman"/>
          <w:b/>
          <w:bCs/>
          <w:color w:val="000000"/>
          <w:sz w:val="36"/>
          <w:szCs w:val="36"/>
        </w:rPr>
        <w:t xml:space="preserve"> </w:t>
      </w:r>
      <w:proofErr w:type="spellStart"/>
      <w:r w:rsidR="001429FC" w:rsidRPr="001429FC">
        <w:rPr>
          <w:rFonts w:ascii="Times New Roman" w:hAnsi="Times New Roman" w:cs="Times New Roman"/>
          <w:b/>
          <w:bCs/>
          <w:color w:val="000000"/>
          <w:sz w:val="36"/>
          <w:szCs w:val="36"/>
        </w:rPr>
        <w:t>vulagaris</w:t>
      </w:r>
      <w:proofErr w:type="spellEnd"/>
      <w:r w:rsidR="001429FC" w:rsidRPr="001429FC">
        <w:rPr>
          <w:rFonts w:ascii="Times New Roman" w:hAnsi="Times New Roman" w:cs="Times New Roman"/>
          <w:b/>
          <w:bCs/>
          <w:color w:val="000000"/>
          <w:sz w:val="36"/>
          <w:szCs w:val="36"/>
        </w:rPr>
        <w:t xml:space="preserve"> (Linné, 1758) au </w:t>
      </w:r>
      <w:proofErr w:type="spellStart"/>
      <w:r w:rsidR="001429FC" w:rsidRPr="001429FC">
        <w:rPr>
          <w:rFonts w:ascii="Times New Roman" w:hAnsi="Times New Roman" w:cs="Times New Roman"/>
          <w:b/>
          <w:bCs/>
          <w:color w:val="000000"/>
          <w:sz w:val="36"/>
          <w:szCs w:val="36"/>
        </w:rPr>
        <w:t>jjardin</w:t>
      </w:r>
      <w:proofErr w:type="spellEnd"/>
      <w:r w:rsidR="001429FC" w:rsidRPr="001429FC">
        <w:rPr>
          <w:rFonts w:ascii="Times New Roman" w:hAnsi="Times New Roman" w:cs="Times New Roman"/>
          <w:b/>
          <w:bCs/>
          <w:color w:val="000000"/>
          <w:sz w:val="36"/>
          <w:szCs w:val="36"/>
        </w:rPr>
        <w:t xml:space="preserve"> d'</w:t>
      </w:r>
      <w:proofErr w:type="spellStart"/>
      <w:r w:rsidR="001429FC" w:rsidRPr="001429FC">
        <w:rPr>
          <w:rFonts w:ascii="Times New Roman" w:hAnsi="Times New Roman" w:cs="Times New Roman"/>
          <w:b/>
          <w:bCs/>
          <w:color w:val="000000"/>
          <w:sz w:val="36"/>
          <w:szCs w:val="36"/>
        </w:rPr>
        <w:t>eassai</w:t>
      </w:r>
      <w:proofErr w:type="spellEnd"/>
      <w:r w:rsidR="001429FC" w:rsidRPr="001429FC">
        <w:rPr>
          <w:rFonts w:ascii="Times New Roman" w:hAnsi="Times New Roman" w:cs="Times New Roman"/>
          <w:b/>
          <w:bCs/>
          <w:color w:val="000000"/>
          <w:sz w:val="36"/>
          <w:szCs w:val="36"/>
        </w:rPr>
        <w:t xml:space="preserve"> du </w:t>
      </w:r>
      <w:proofErr w:type="spellStart"/>
      <w:r w:rsidR="001429FC" w:rsidRPr="001429FC">
        <w:rPr>
          <w:rFonts w:ascii="Times New Roman" w:hAnsi="Times New Roman" w:cs="Times New Roman"/>
          <w:b/>
          <w:bCs/>
          <w:color w:val="000000"/>
          <w:sz w:val="36"/>
          <w:szCs w:val="36"/>
        </w:rPr>
        <w:t>hamma</w:t>
      </w:r>
      <w:proofErr w:type="spellEnd"/>
      <w:r w:rsidR="001429FC" w:rsidRPr="001429FC">
        <w:rPr>
          <w:rFonts w:ascii="Times New Roman" w:hAnsi="Times New Roman" w:cs="Times New Roman"/>
          <w:b/>
          <w:bCs/>
          <w:color w:val="000000"/>
          <w:sz w:val="36"/>
          <w:szCs w:val="36"/>
        </w:rPr>
        <w:t xml:space="preserve"> (Alger)</w:t>
      </w:r>
    </w:p>
    <w:p w:rsidR="00D96F6B" w:rsidRDefault="00D96F6B" w:rsidP="00D96F6B">
      <w:pPr>
        <w:rPr>
          <w:rFonts w:ascii="Times New Roman" w:hAnsi="Times New Roman" w:cs="Times New Roman"/>
          <w:b/>
          <w:bCs/>
          <w:color w:val="000000"/>
          <w:sz w:val="36"/>
          <w:szCs w:val="36"/>
        </w:rPr>
      </w:pPr>
      <w:bookmarkStart w:id="0" w:name="_GoBack"/>
      <w:bookmarkEnd w:id="0"/>
    </w:p>
    <w:p w:rsidR="001233AC" w:rsidRPr="00436294" w:rsidRDefault="00436294" w:rsidP="001233AC">
      <w:pPr>
        <w:rPr>
          <w:rFonts w:asciiTheme="majorBidi" w:hAnsiTheme="majorBidi" w:cstheme="majorBidi"/>
          <w:b/>
          <w:bCs/>
          <w:sz w:val="24"/>
          <w:szCs w:val="24"/>
        </w:rPr>
      </w:pPr>
      <w:proofErr w:type="spellStart"/>
      <w:r w:rsidRPr="00436294">
        <w:rPr>
          <w:rFonts w:asciiTheme="majorBidi" w:hAnsiTheme="majorBidi" w:cstheme="majorBidi"/>
          <w:b/>
          <w:bCs/>
          <w:sz w:val="24"/>
          <w:szCs w:val="24"/>
        </w:rPr>
        <w:t>Resumé</w:t>
      </w:r>
      <w:proofErr w:type="spellEnd"/>
    </w:p>
    <w:p w:rsidR="00614647" w:rsidRPr="00614647" w:rsidRDefault="00614647" w:rsidP="00614647">
      <w:pPr>
        <w:spacing w:after="0" w:line="480" w:lineRule="auto"/>
        <w:rPr>
          <w:rFonts w:asciiTheme="majorBidi" w:eastAsia="Times New Roman" w:hAnsiTheme="majorBidi" w:cstheme="majorBidi"/>
          <w:color w:val="000000"/>
          <w:sz w:val="24"/>
          <w:szCs w:val="24"/>
          <w:lang w:eastAsia="fr-FR"/>
        </w:rPr>
      </w:pPr>
      <w:r w:rsidRPr="00614647">
        <w:rPr>
          <w:rFonts w:asciiTheme="majorBidi" w:eastAsia="Times New Roman" w:hAnsiTheme="majorBidi" w:cstheme="majorBidi"/>
          <w:color w:val="000000"/>
          <w:sz w:val="24"/>
          <w:szCs w:val="24"/>
          <w:lang w:eastAsia="fr-FR"/>
        </w:rPr>
        <w:t>L'étourneau sansonnet (</w:t>
      </w:r>
      <w:proofErr w:type="spellStart"/>
      <w:r w:rsidRPr="00614647">
        <w:rPr>
          <w:rFonts w:asciiTheme="majorBidi" w:eastAsia="Times New Roman" w:hAnsiTheme="majorBidi" w:cstheme="majorBidi"/>
          <w:i/>
          <w:iCs/>
          <w:color w:val="000000"/>
          <w:sz w:val="24"/>
          <w:szCs w:val="24"/>
          <w:lang w:eastAsia="fr-FR"/>
        </w:rPr>
        <w:t>Sturnus</w:t>
      </w:r>
      <w:proofErr w:type="spellEnd"/>
      <w:r w:rsidRPr="00614647">
        <w:rPr>
          <w:rFonts w:asciiTheme="majorBidi" w:eastAsia="Times New Roman" w:hAnsiTheme="majorBidi" w:cstheme="majorBidi"/>
          <w:i/>
          <w:iCs/>
          <w:color w:val="000000"/>
          <w:sz w:val="24"/>
          <w:szCs w:val="24"/>
          <w:lang w:eastAsia="fr-FR"/>
        </w:rPr>
        <w:t xml:space="preserve"> </w:t>
      </w:r>
      <w:proofErr w:type="spellStart"/>
      <w:r w:rsidRPr="00614647">
        <w:rPr>
          <w:rFonts w:asciiTheme="majorBidi" w:eastAsia="Times New Roman" w:hAnsiTheme="majorBidi" w:cstheme="majorBidi"/>
          <w:i/>
          <w:iCs/>
          <w:color w:val="000000"/>
          <w:sz w:val="24"/>
          <w:szCs w:val="24"/>
          <w:lang w:eastAsia="fr-FR"/>
        </w:rPr>
        <w:t>vulgaris</w:t>
      </w:r>
      <w:proofErr w:type="spellEnd"/>
      <w:r w:rsidRPr="00614647">
        <w:rPr>
          <w:rFonts w:asciiTheme="majorBidi" w:eastAsia="Times New Roman" w:hAnsiTheme="majorBidi" w:cstheme="majorBidi"/>
          <w:color w:val="000000"/>
          <w:sz w:val="24"/>
          <w:szCs w:val="24"/>
          <w:lang w:eastAsia="fr-FR"/>
        </w:rPr>
        <w:t xml:space="preserve">) est un oiseau migrateur également connu pour être un réservoir potentiel d’agents pathogènes bactériens et parasitaires pour l’Homme et les autres animaux. L’objectif de ce travail est l’étude de la présence des </w:t>
      </w:r>
      <w:r w:rsidRPr="00614647">
        <w:rPr>
          <w:rFonts w:asciiTheme="majorBidi" w:eastAsia="Times New Roman" w:hAnsiTheme="majorBidi" w:cstheme="majorBidi"/>
          <w:i/>
          <w:iCs/>
          <w:color w:val="000000"/>
          <w:sz w:val="24"/>
          <w:szCs w:val="24"/>
          <w:lang w:eastAsia="fr-FR"/>
        </w:rPr>
        <w:t>Escherichia coli</w:t>
      </w:r>
      <w:r w:rsidRPr="00614647">
        <w:rPr>
          <w:rFonts w:asciiTheme="majorBidi" w:eastAsia="Times New Roman" w:hAnsiTheme="majorBidi" w:cstheme="majorBidi"/>
          <w:color w:val="000000"/>
          <w:sz w:val="24"/>
          <w:szCs w:val="24"/>
          <w:lang w:eastAsia="fr-FR"/>
        </w:rPr>
        <w:t xml:space="preserve">, </w:t>
      </w:r>
      <w:r w:rsidRPr="00614647">
        <w:rPr>
          <w:rFonts w:asciiTheme="majorBidi" w:eastAsia="Times New Roman" w:hAnsiTheme="majorBidi" w:cstheme="majorBidi"/>
          <w:i/>
          <w:iCs/>
          <w:color w:val="000000"/>
          <w:sz w:val="24"/>
          <w:szCs w:val="24"/>
          <w:lang w:eastAsia="fr-FR"/>
        </w:rPr>
        <w:t xml:space="preserve">Salmonella </w:t>
      </w:r>
      <w:r w:rsidRPr="00614647">
        <w:rPr>
          <w:rFonts w:asciiTheme="majorBidi" w:eastAsia="Times New Roman" w:hAnsiTheme="majorBidi" w:cstheme="majorBidi"/>
          <w:color w:val="000000"/>
          <w:sz w:val="24"/>
          <w:szCs w:val="24"/>
          <w:lang w:eastAsia="fr-FR"/>
        </w:rPr>
        <w:t xml:space="preserve">et des parasites, dans 77 échantillons de fientes et des tubes digestifs des cadavres d’étourneaux collectés au jardin d’essai du </w:t>
      </w:r>
      <w:proofErr w:type="spellStart"/>
      <w:r w:rsidRPr="00614647">
        <w:rPr>
          <w:rFonts w:asciiTheme="majorBidi" w:eastAsia="Times New Roman" w:hAnsiTheme="majorBidi" w:cstheme="majorBidi"/>
          <w:color w:val="000000"/>
          <w:sz w:val="24"/>
          <w:szCs w:val="24"/>
          <w:lang w:eastAsia="fr-FR"/>
        </w:rPr>
        <w:t>Hamma</w:t>
      </w:r>
      <w:proofErr w:type="spellEnd"/>
      <w:r w:rsidRPr="00614647">
        <w:rPr>
          <w:rFonts w:asciiTheme="majorBidi" w:eastAsia="Times New Roman" w:hAnsiTheme="majorBidi" w:cstheme="majorBidi"/>
          <w:color w:val="000000"/>
          <w:sz w:val="24"/>
          <w:szCs w:val="24"/>
          <w:lang w:eastAsia="fr-FR"/>
        </w:rPr>
        <w:t>, de novembre 2022 à février 2023.</w:t>
      </w:r>
    </w:p>
    <w:p w:rsidR="00614647" w:rsidRPr="00614647" w:rsidRDefault="00614647" w:rsidP="00614647">
      <w:pPr>
        <w:spacing w:after="0" w:line="480" w:lineRule="auto"/>
        <w:rPr>
          <w:rFonts w:asciiTheme="majorBidi" w:eastAsia="Times New Roman" w:hAnsiTheme="majorBidi" w:cstheme="majorBidi"/>
          <w:color w:val="000000"/>
          <w:sz w:val="24"/>
          <w:szCs w:val="24"/>
          <w:lang w:eastAsia="fr-FR"/>
        </w:rPr>
      </w:pPr>
      <w:r w:rsidRPr="00614647">
        <w:rPr>
          <w:rFonts w:asciiTheme="majorBidi" w:eastAsia="Times New Roman" w:hAnsiTheme="majorBidi" w:cstheme="majorBidi"/>
          <w:color w:val="000000"/>
          <w:sz w:val="24"/>
          <w:szCs w:val="24"/>
          <w:lang w:eastAsia="fr-FR"/>
        </w:rPr>
        <w:t xml:space="preserve">L’analyse bactériologique a porté sur 17 échantillons fécaux. Au total, 137 colonies ont été isolées, sur deux milieux sélectifs </w:t>
      </w:r>
      <w:proofErr w:type="spellStart"/>
      <w:r w:rsidRPr="00614647">
        <w:rPr>
          <w:rFonts w:asciiTheme="majorBidi" w:eastAsia="Times New Roman" w:hAnsiTheme="majorBidi" w:cstheme="majorBidi"/>
          <w:color w:val="000000"/>
          <w:sz w:val="24"/>
          <w:szCs w:val="24"/>
          <w:lang w:eastAsia="fr-FR"/>
        </w:rPr>
        <w:t>MacConckey</w:t>
      </w:r>
      <w:proofErr w:type="spellEnd"/>
      <w:r w:rsidRPr="00614647">
        <w:rPr>
          <w:rFonts w:asciiTheme="majorBidi" w:eastAsia="Times New Roman" w:hAnsiTheme="majorBidi" w:cstheme="majorBidi"/>
          <w:color w:val="000000"/>
          <w:sz w:val="24"/>
          <w:szCs w:val="24"/>
          <w:lang w:eastAsia="fr-FR"/>
        </w:rPr>
        <w:t xml:space="preserve"> et </w:t>
      </w:r>
      <w:proofErr w:type="spellStart"/>
      <w:r w:rsidRPr="00614647">
        <w:rPr>
          <w:rFonts w:asciiTheme="majorBidi" w:eastAsia="Times New Roman" w:hAnsiTheme="majorBidi" w:cstheme="majorBidi"/>
          <w:color w:val="000000"/>
          <w:sz w:val="24"/>
          <w:szCs w:val="24"/>
          <w:lang w:eastAsia="fr-FR"/>
        </w:rPr>
        <w:t>Hektoen</w:t>
      </w:r>
      <w:proofErr w:type="spellEnd"/>
      <w:r w:rsidRPr="00614647">
        <w:rPr>
          <w:rFonts w:asciiTheme="majorBidi" w:eastAsia="Times New Roman" w:hAnsiTheme="majorBidi" w:cstheme="majorBidi"/>
          <w:color w:val="000000"/>
          <w:sz w:val="24"/>
          <w:szCs w:val="24"/>
          <w:lang w:eastAsia="fr-FR"/>
        </w:rPr>
        <w:t xml:space="preserve">. L’identification présomptive et non confirmative des colonies, sur galerie biochimique classique, montre 40 colonies </w:t>
      </w:r>
      <w:proofErr w:type="spellStart"/>
      <w:r w:rsidRPr="00614647">
        <w:rPr>
          <w:rFonts w:asciiTheme="majorBidi" w:eastAsia="Times New Roman" w:hAnsiTheme="majorBidi" w:cstheme="majorBidi"/>
          <w:i/>
          <w:iCs/>
          <w:color w:val="000000"/>
          <w:sz w:val="24"/>
          <w:szCs w:val="24"/>
          <w:lang w:eastAsia="fr-FR"/>
        </w:rPr>
        <w:t>E.coli</w:t>
      </w:r>
      <w:proofErr w:type="spellEnd"/>
      <w:r w:rsidRPr="00614647">
        <w:rPr>
          <w:rFonts w:asciiTheme="majorBidi" w:eastAsia="Times New Roman" w:hAnsiTheme="majorBidi" w:cstheme="majorBidi"/>
          <w:i/>
          <w:iCs/>
          <w:color w:val="000000"/>
          <w:sz w:val="24"/>
          <w:szCs w:val="24"/>
          <w:lang w:eastAsia="fr-FR"/>
        </w:rPr>
        <w:t xml:space="preserve"> </w:t>
      </w:r>
      <w:r w:rsidRPr="00614647">
        <w:rPr>
          <w:rFonts w:asciiTheme="majorBidi" w:eastAsia="Times New Roman" w:hAnsiTheme="majorBidi" w:cstheme="majorBidi"/>
          <w:color w:val="000000"/>
          <w:sz w:val="24"/>
          <w:szCs w:val="24"/>
          <w:lang w:eastAsia="fr-FR"/>
        </w:rPr>
        <w:t xml:space="preserve">(29,2%) et 1 colonie </w:t>
      </w:r>
      <w:r w:rsidRPr="00614647">
        <w:rPr>
          <w:rFonts w:asciiTheme="majorBidi" w:eastAsia="Times New Roman" w:hAnsiTheme="majorBidi" w:cstheme="majorBidi"/>
          <w:i/>
          <w:iCs/>
          <w:color w:val="000000"/>
          <w:sz w:val="24"/>
          <w:szCs w:val="24"/>
          <w:lang w:eastAsia="fr-FR"/>
        </w:rPr>
        <w:t xml:space="preserve">Salmonella </w:t>
      </w:r>
      <w:r w:rsidRPr="00614647">
        <w:rPr>
          <w:rFonts w:asciiTheme="majorBidi" w:eastAsia="Times New Roman" w:hAnsiTheme="majorBidi" w:cstheme="majorBidi"/>
          <w:color w:val="000000"/>
          <w:sz w:val="24"/>
          <w:szCs w:val="24"/>
          <w:lang w:eastAsia="fr-FR"/>
        </w:rPr>
        <w:t xml:space="preserve">(0,73%). Le reste des colonies correspondent au genre </w:t>
      </w:r>
      <w:r w:rsidRPr="00614647">
        <w:rPr>
          <w:rFonts w:asciiTheme="majorBidi" w:eastAsia="Times New Roman" w:hAnsiTheme="majorBidi" w:cstheme="majorBidi"/>
          <w:i/>
          <w:iCs/>
          <w:color w:val="000000"/>
          <w:sz w:val="24"/>
          <w:szCs w:val="24"/>
          <w:lang w:eastAsia="fr-FR"/>
        </w:rPr>
        <w:t>Pseudomonas</w:t>
      </w:r>
      <w:r w:rsidRPr="00614647">
        <w:rPr>
          <w:rFonts w:asciiTheme="majorBidi" w:eastAsia="Times New Roman" w:hAnsiTheme="majorBidi" w:cstheme="majorBidi"/>
          <w:color w:val="000000"/>
          <w:sz w:val="24"/>
          <w:szCs w:val="24"/>
          <w:lang w:eastAsia="fr-FR"/>
        </w:rPr>
        <w:t xml:space="preserve">, et d’autres entérobactéries telles que </w:t>
      </w:r>
      <w:r w:rsidRPr="00614647">
        <w:rPr>
          <w:rFonts w:asciiTheme="majorBidi" w:eastAsia="Times New Roman" w:hAnsiTheme="majorBidi" w:cstheme="majorBidi"/>
          <w:i/>
          <w:iCs/>
          <w:color w:val="000000"/>
          <w:sz w:val="24"/>
          <w:szCs w:val="24"/>
          <w:lang w:eastAsia="fr-FR"/>
        </w:rPr>
        <w:t>Yersinia</w:t>
      </w:r>
      <w:r w:rsidRPr="00614647">
        <w:rPr>
          <w:rFonts w:asciiTheme="majorBidi" w:eastAsia="Times New Roman" w:hAnsiTheme="majorBidi" w:cstheme="majorBidi"/>
          <w:color w:val="000000"/>
          <w:sz w:val="24"/>
          <w:szCs w:val="24"/>
          <w:lang w:eastAsia="fr-FR"/>
        </w:rPr>
        <w:t xml:space="preserve">, </w:t>
      </w:r>
      <w:r w:rsidRPr="00614647">
        <w:rPr>
          <w:rFonts w:asciiTheme="majorBidi" w:eastAsia="Times New Roman" w:hAnsiTheme="majorBidi" w:cstheme="majorBidi"/>
          <w:i/>
          <w:iCs/>
          <w:color w:val="000000"/>
          <w:sz w:val="24"/>
          <w:szCs w:val="24"/>
          <w:lang w:eastAsia="fr-FR"/>
        </w:rPr>
        <w:t>Proteus</w:t>
      </w:r>
      <w:r w:rsidRPr="00614647">
        <w:rPr>
          <w:rFonts w:asciiTheme="majorBidi" w:eastAsia="Times New Roman" w:hAnsiTheme="majorBidi" w:cstheme="majorBidi"/>
          <w:color w:val="000000"/>
          <w:sz w:val="24"/>
          <w:szCs w:val="24"/>
          <w:lang w:eastAsia="fr-FR"/>
        </w:rPr>
        <w:t xml:space="preserve">, </w:t>
      </w:r>
      <w:proofErr w:type="spellStart"/>
      <w:r w:rsidRPr="00614647">
        <w:rPr>
          <w:rFonts w:asciiTheme="majorBidi" w:eastAsia="Times New Roman" w:hAnsiTheme="majorBidi" w:cstheme="majorBidi"/>
          <w:i/>
          <w:iCs/>
          <w:color w:val="000000"/>
          <w:sz w:val="24"/>
          <w:szCs w:val="24"/>
          <w:lang w:eastAsia="fr-FR"/>
        </w:rPr>
        <w:t>Shigella</w:t>
      </w:r>
      <w:proofErr w:type="spellEnd"/>
      <w:r w:rsidRPr="00614647">
        <w:rPr>
          <w:rFonts w:asciiTheme="majorBidi" w:eastAsia="Times New Roman" w:hAnsiTheme="majorBidi" w:cstheme="majorBidi"/>
          <w:i/>
          <w:iCs/>
          <w:color w:val="000000"/>
          <w:sz w:val="24"/>
          <w:szCs w:val="24"/>
          <w:lang w:eastAsia="fr-FR"/>
        </w:rPr>
        <w:t xml:space="preserve"> </w:t>
      </w:r>
      <w:r w:rsidRPr="00614647">
        <w:rPr>
          <w:rFonts w:asciiTheme="majorBidi" w:eastAsia="Times New Roman" w:hAnsiTheme="majorBidi" w:cstheme="majorBidi"/>
          <w:color w:val="000000"/>
          <w:sz w:val="24"/>
          <w:szCs w:val="24"/>
          <w:lang w:eastAsia="fr-FR"/>
        </w:rPr>
        <w:t xml:space="preserve">et </w:t>
      </w:r>
      <w:proofErr w:type="spellStart"/>
      <w:r w:rsidRPr="00614647">
        <w:rPr>
          <w:rFonts w:asciiTheme="majorBidi" w:eastAsia="Times New Roman" w:hAnsiTheme="majorBidi" w:cstheme="majorBidi"/>
          <w:i/>
          <w:iCs/>
          <w:color w:val="000000"/>
          <w:sz w:val="24"/>
          <w:szCs w:val="24"/>
          <w:lang w:eastAsia="fr-FR"/>
        </w:rPr>
        <w:t>Serratia</w:t>
      </w:r>
      <w:proofErr w:type="spellEnd"/>
      <w:r w:rsidRPr="00614647">
        <w:rPr>
          <w:rFonts w:asciiTheme="majorBidi" w:eastAsia="Times New Roman" w:hAnsiTheme="majorBidi" w:cstheme="majorBidi"/>
          <w:color w:val="000000"/>
          <w:sz w:val="24"/>
          <w:szCs w:val="24"/>
          <w:lang w:eastAsia="fr-FR"/>
        </w:rPr>
        <w:t>.</w:t>
      </w:r>
    </w:p>
    <w:p w:rsidR="00614647" w:rsidRPr="00614647" w:rsidRDefault="00614647" w:rsidP="00614647">
      <w:pPr>
        <w:spacing w:after="0" w:line="480" w:lineRule="auto"/>
        <w:rPr>
          <w:rFonts w:asciiTheme="majorBidi" w:eastAsia="Times New Roman" w:hAnsiTheme="majorBidi" w:cstheme="majorBidi"/>
          <w:color w:val="000000"/>
          <w:sz w:val="24"/>
          <w:szCs w:val="24"/>
          <w:lang w:eastAsia="fr-FR"/>
        </w:rPr>
      </w:pPr>
      <w:r w:rsidRPr="00614647">
        <w:rPr>
          <w:rFonts w:asciiTheme="majorBidi" w:eastAsia="Times New Roman" w:hAnsiTheme="majorBidi" w:cstheme="majorBidi"/>
          <w:color w:val="000000"/>
          <w:sz w:val="24"/>
          <w:szCs w:val="24"/>
          <w:lang w:eastAsia="fr-FR"/>
        </w:rPr>
        <w:t xml:space="preserve">L’analyse </w:t>
      </w:r>
      <w:proofErr w:type="spellStart"/>
      <w:r w:rsidRPr="00614647">
        <w:rPr>
          <w:rFonts w:asciiTheme="majorBidi" w:eastAsia="Times New Roman" w:hAnsiTheme="majorBidi" w:cstheme="majorBidi"/>
          <w:color w:val="000000"/>
          <w:sz w:val="24"/>
          <w:szCs w:val="24"/>
          <w:lang w:eastAsia="fr-FR"/>
        </w:rPr>
        <w:t>parasitologique</w:t>
      </w:r>
      <w:proofErr w:type="spellEnd"/>
      <w:r w:rsidRPr="00614647">
        <w:rPr>
          <w:rFonts w:asciiTheme="majorBidi" w:eastAsia="Times New Roman" w:hAnsiTheme="majorBidi" w:cstheme="majorBidi"/>
          <w:color w:val="000000"/>
          <w:sz w:val="24"/>
          <w:szCs w:val="24"/>
          <w:lang w:eastAsia="fr-FR"/>
        </w:rPr>
        <w:t xml:space="preserve"> de 51 échantillons fécaux et 9 tubes digestifs, par la technique de flottaison, montre un taux de parasitisme élevé (78,4%). 3 espèces ont été identifiées (</w:t>
      </w:r>
      <w:proofErr w:type="spellStart"/>
      <w:r w:rsidRPr="00614647">
        <w:rPr>
          <w:rFonts w:asciiTheme="majorBidi" w:eastAsia="Times New Roman" w:hAnsiTheme="majorBidi" w:cstheme="majorBidi"/>
          <w:i/>
          <w:iCs/>
          <w:color w:val="000000"/>
          <w:sz w:val="24"/>
          <w:szCs w:val="24"/>
          <w:lang w:eastAsia="fr-FR"/>
        </w:rPr>
        <w:t>Isospora</w:t>
      </w:r>
      <w:proofErr w:type="spellEnd"/>
      <w:r w:rsidRPr="00614647">
        <w:rPr>
          <w:rFonts w:asciiTheme="majorBidi" w:eastAsia="Times New Roman" w:hAnsiTheme="majorBidi" w:cstheme="majorBidi"/>
          <w:i/>
          <w:iCs/>
          <w:color w:val="000000"/>
          <w:sz w:val="24"/>
          <w:szCs w:val="24"/>
          <w:lang w:eastAsia="fr-FR"/>
        </w:rPr>
        <w:t xml:space="preserve"> </w:t>
      </w:r>
      <w:proofErr w:type="spellStart"/>
      <w:proofErr w:type="gramStart"/>
      <w:r w:rsidRPr="00614647">
        <w:rPr>
          <w:rFonts w:asciiTheme="majorBidi" w:eastAsia="Times New Roman" w:hAnsiTheme="majorBidi" w:cstheme="majorBidi"/>
          <w:color w:val="000000"/>
          <w:sz w:val="24"/>
          <w:szCs w:val="24"/>
          <w:lang w:eastAsia="fr-FR"/>
        </w:rPr>
        <w:t>sp</w:t>
      </w:r>
      <w:proofErr w:type="spellEnd"/>
      <w:r w:rsidRPr="00614647">
        <w:rPr>
          <w:rFonts w:asciiTheme="majorBidi" w:eastAsia="Times New Roman" w:hAnsiTheme="majorBidi" w:cstheme="majorBidi"/>
          <w:color w:val="000000"/>
          <w:sz w:val="24"/>
          <w:szCs w:val="24"/>
          <w:lang w:eastAsia="fr-FR"/>
        </w:rPr>
        <w:t>.,</w:t>
      </w:r>
      <w:proofErr w:type="gramEnd"/>
      <w:r w:rsidRPr="00614647">
        <w:rPr>
          <w:rFonts w:asciiTheme="majorBidi" w:eastAsia="Times New Roman" w:hAnsiTheme="majorBidi" w:cstheme="majorBidi"/>
          <w:color w:val="000000"/>
          <w:sz w:val="24"/>
          <w:szCs w:val="24"/>
          <w:lang w:eastAsia="fr-FR"/>
        </w:rPr>
        <w:t xml:space="preserve"> </w:t>
      </w:r>
      <w:proofErr w:type="spellStart"/>
      <w:r w:rsidRPr="00614647">
        <w:rPr>
          <w:rFonts w:asciiTheme="majorBidi" w:eastAsia="Times New Roman" w:hAnsiTheme="majorBidi" w:cstheme="majorBidi"/>
          <w:i/>
          <w:iCs/>
          <w:color w:val="000000"/>
          <w:sz w:val="24"/>
          <w:szCs w:val="24"/>
          <w:lang w:eastAsia="fr-FR"/>
        </w:rPr>
        <w:t>Acaria</w:t>
      </w:r>
      <w:proofErr w:type="spellEnd"/>
      <w:r w:rsidRPr="00614647">
        <w:rPr>
          <w:rFonts w:asciiTheme="majorBidi" w:eastAsia="Times New Roman" w:hAnsiTheme="majorBidi" w:cstheme="majorBidi"/>
          <w:i/>
          <w:iCs/>
          <w:color w:val="000000"/>
          <w:sz w:val="24"/>
          <w:szCs w:val="24"/>
          <w:lang w:eastAsia="fr-FR"/>
        </w:rPr>
        <w:t xml:space="preserve"> </w:t>
      </w:r>
      <w:proofErr w:type="spellStart"/>
      <w:r w:rsidRPr="00614647">
        <w:rPr>
          <w:rFonts w:asciiTheme="majorBidi" w:eastAsia="Times New Roman" w:hAnsiTheme="majorBidi" w:cstheme="majorBidi"/>
          <w:color w:val="000000"/>
          <w:sz w:val="24"/>
          <w:szCs w:val="24"/>
          <w:lang w:eastAsia="fr-FR"/>
        </w:rPr>
        <w:t>sp</w:t>
      </w:r>
      <w:proofErr w:type="spellEnd"/>
      <w:r w:rsidRPr="00614647">
        <w:rPr>
          <w:rFonts w:asciiTheme="majorBidi" w:eastAsia="Times New Roman" w:hAnsiTheme="majorBidi" w:cstheme="majorBidi"/>
          <w:color w:val="000000"/>
          <w:sz w:val="24"/>
          <w:szCs w:val="24"/>
          <w:lang w:eastAsia="fr-FR"/>
        </w:rPr>
        <w:t xml:space="preserve">. </w:t>
      </w:r>
      <w:proofErr w:type="spellStart"/>
      <w:r w:rsidRPr="00614647">
        <w:rPr>
          <w:rFonts w:asciiTheme="majorBidi" w:eastAsia="Times New Roman" w:hAnsiTheme="majorBidi" w:cstheme="majorBidi"/>
          <w:color w:val="000000"/>
          <w:sz w:val="24"/>
          <w:szCs w:val="24"/>
          <w:lang w:eastAsia="fr-FR"/>
        </w:rPr>
        <w:t>ind</w:t>
      </w:r>
      <w:proofErr w:type="spellEnd"/>
      <w:r w:rsidRPr="00614647">
        <w:rPr>
          <w:rFonts w:asciiTheme="majorBidi" w:eastAsia="Times New Roman" w:hAnsiTheme="majorBidi" w:cstheme="majorBidi"/>
          <w:color w:val="000000"/>
          <w:sz w:val="24"/>
          <w:szCs w:val="24"/>
          <w:lang w:eastAsia="fr-FR"/>
        </w:rPr>
        <w:t xml:space="preserve">. et </w:t>
      </w:r>
      <w:proofErr w:type="spellStart"/>
      <w:r w:rsidRPr="00614647">
        <w:rPr>
          <w:rFonts w:asciiTheme="majorBidi" w:eastAsia="Times New Roman" w:hAnsiTheme="majorBidi" w:cstheme="majorBidi"/>
          <w:i/>
          <w:iCs/>
          <w:color w:val="000000"/>
          <w:sz w:val="24"/>
          <w:szCs w:val="24"/>
          <w:lang w:eastAsia="fr-FR"/>
        </w:rPr>
        <w:t>Nematoda</w:t>
      </w:r>
      <w:proofErr w:type="spellEnd"/>
      <w:r w:rsidRPr="00614647">
        <w:rPr>
          <w:rFonts w:asciiTheme="majorBidi" w:eastAsia="Times New Roman" w:hAnsiTheme="majorBidi" w:cstheme="majorBidi"/>
          <w:i/>
          <w:iCs/>
          <w:color w:val="000000"/>
          <w:sz w:val="24"/>
          <w:szCs w:val="24"/>
          <w:lang w:eastAsia="fr-FR"/>
        </w:rPr>
        <w:t xml:space="preserve"> </w:t>
      </w:r>
      <w:proofErr w:type="spellStart"/>
      <w:r w:rsidRPr="00614647">
        <w:rPr>
          <w:rFonts w:asciiTheme="majorBidi" w:eastAsia="Times New Roman" w:hAnsiTheme="majorBidi" w:cstheme="majorBidi"/>
          <w:color w:val="000000"/>
          <w:sz w:val="24"/>
          <w:szCs w:val="24"/>
          <w:lang w:eastAsia="fr-FR"/>
        </w:rPr>
        <w:t>sp</w:t>
      </w:r>
      <w:proofErr w:type="spellEnd"/>
      <w:r w:rsidRPr="00614647">
        <w:rPr>
          <w:rFonts w:asciiTheme="majorBidi" w:eastAsia="Times New Roman" w:hAnsiTheme="majorBidi" w:cstheme="majorBidi"/>
          <w:color w:val="000000"/>
          <w:sz w:val="24"/>
          <w:szCs w:val="24"/>
          <w:lang w:eastAsia="fr-FR"/>
        </w:rPr>
        <w:t xml:space="preserve">. </w:t>
      </w:r>
      <w:proofErr w:type="spellStart"/>
      <w:r w:rsidRPr="00614647">
        <w:rPr>
          <w:rFonts w:asciiTheme="majorBidi" w:eastAsia="Times New Roman" w:hAnsiTheme="majorBidi" w:cstheme="majorBidi"/>
          <w:color w:val="000000"/>
          <w:sz w:val="24"/>
          <w:szCs w:val="24"/>
          <w:lang w:eastAsia="fr-FR"/>
        </w:rPr>
        <w:t>ind</w:t>
      </w:r>
      <w:proofErr w:type="spellEnd"/>
      <w:r w:rsidRPr="00614647">
        <w:rPr>
          <w:rFonts w:asciiTheme="majorBidi" w:eastAsia="Times New Roman" w:hAnsiTheme="majorBidi" w:cstheme="majorBidi"/>
          <w:color w:val="000000"/>
          <w:sz w:val="24"/>
          <w:szCs w:val="24"/>
          <w:lang w:eastAsia="fr-FR"/>
        </w:rPr>
        <w:t>.). Les abondances relatives, les prévalences et les intensités moyennes des parasites varient selon les semaines et les mois.</w:t>
      </w:r>
    </w:p>
    <w:p w:rsidR="00614647" w:rsidRPr="00614647" w:rsidRDefault="00614647" w:rsidP="00614647">
      <w:pPr>
        <w:spacing w:after="0" w:line="480" w:lineRule="auto"/>
        <w:rPr>
          <w:rFonts w:asciiTheme="majorBidi" w:eastAsia="Times New Roman" w:hAnsiTheme="majorBidi" w:cstheme="majorBidi"/>
          <w:color w:val="000000"/>
          <w:sz w:val="24"/>
          <w:szCs w:val="24"/>
          <w:lang w:eastAsia="fr-FR"/>
        </w:rPr>
      </w:pPr>
      <w:r w:rsidRPr="00614647">
        <w:rPr>
          <w:rFonts w:asciiTheme="majorBidi" w:eastAsia="Times New Roman" w:hAnsiTheme="majorBidi" w:cstheme="majorBidi"/>
          <w:color w:val="000000"/>
          <w:sz w:val="24"/>
          <w:szCs w:val="24"/>
          <w:lang w:eastAsia="fr-FR"/>
        </w:rPr>
        <w:t>Une caractérisation confirmative des espèces bactériennes et des parasites identifiés dans notre étude permettra d’estimer le risque potentiel des fientes de l’étourneau sansonnet pour la santé de l’Homme et de l’animal.</w:t>
      </w:r>
    </w:p>
    <w:p w:rsidR="00614647" w:rsidRPr="00614647" w:rsidRDefault="00614647" w:rsidP="00614647">
      <w:pPr>
        <w:spacing w:after="0" w:line="480" w:lineRule="auto"/>
        <w:rPr>
          <w:rFonts w:asciiTheme="majorBidi" w:eastAsia="Times New Roman" w:hAnsiTheme="majorBidi" w:cstheme="majorBidi"/>
          <w:b/>
          <w:bCs/>
          <w:color w:val="000000"/>
          <w:sz w:val="24"/>
          <w:szCs w:val="24"/>
          <w:lang w:val="en-GB" w:eastAsia="fr-FR"/>
        </w:rPr>
      </w:pPr>
      <w:r w:rsidRPr="00614647">
        <w:rPr>
          <w:rFonts w:asciiTheme="majorBidi" w:eastAsia="Times New Roman" w:hAnsiTheme="majorBidi" w:cstheme="majorBidi"/>
          <w:b/>
          <w:bCs/>
          <w:color w:val="000000"/>
          <w:sz w:val="24"/>
          <w:szCs w:val="24"/>
          <w:lang w:val="en-GB" w:eastAsia="fr-FR"/>
        </w:rPr>
        <w:t>Summary</w:t>
      </w:r>
    </w:p>
    <w:p w:rsidR="00614647" w:rsidRPr="00614647" w:rsidRDefault="00614647" w:rsidP="00614647">
      <w:pPr>
        <w:spacing w:after="0" w:line="480" w:lineRule="auto"/>
        <w:rPr>
          <w:rFonts w:asciiTheme="majorBidi" w:eastAsia="Times New Roman" w:hAnsiTheme="majorBidi" w:cstheme="majorBidi"/>
          <w:color w:val="000000"/>
          <w:sz w:val="24"/>
          <w:szCs w:val="24"/>
          <w:lang w:val="en-GB" w:eastAsia="fr-FR"/>
        </w:rPr>
      </w:pPr>
      <w:r w:rsidRPr="00614647">
        <w:rPr>
          <w:rFonts w:asciiTheme="majorBidi" w:eastAsia="Times New Roman" w:hAnsiTheme="majorBidi" w:cstheme="majorBidi"/>
          <w:color w:val="000000"/>
          <w:sz w:val="24"/>
          <w:szCs w:val="24"/>
          <w:lang w:val="en-GB" w:eastAsia="fr-FR"/>
        </w:rPr>
        <w:t>The European starling (</w:t>
      </w:r>
      <w:proofErr w:type="spellStart"/>
      <w:r w:rsidRPr="00614647">
        <w:rPr>
          <w:rFonts w:asciiTheme="majorBidi" w:eastAsia="Times New Roman" w:hAnsiTheme="majorBidi" w:cstheme="majorBidi"/>
          <w:i/>
          <w:iCs/>
          <w:color w:val="000000"/>
          <w:sz w:val="24"/>
          <w:szCs w:val="24"/>
          <w:lang w:val="en-GB" w:eastAsia="fr-FR"/>
        </w:rPr>
        <w:t>Sturnus</w:t>
      </w:r>
      <w:proofErr w:type="spellEnd"/>
      <w:r w:rsidRPr="00614647">
        <w:rPr>
          <w:rFonts w:asciiTheme="majorBidi" w:eastAsia="Times New Roman" w:hAnsiTheme="majorBidi" w:cstheme="majorBidi"/>
          <w:i/>
          <w:iCs/>
          <w:color w:val="000000"/>
          <w:sz w:val="24"/>
          <w:szCs w:val="24"/>
          <w:lang w:val="en-GB" w:eastAsia="fr-FR"/>
        </w:rPr>
        <w:t xml:space="preserve"> vulgaris</w:t>
      </w:r>
      <w:r w:rsidRPr="00614647">
        <w:rPr>
          <w:rFonts w:asciiTheme="majorBidi" w:eastAsia="Times New Roman" w:hAnsiTheme="majorBidi" w:cstheme="majorBidi"/>
          <w:color w:val="000000"/>
          <w:sz w:val="24"/>
          <w:szCs w:val="24"/>
          <w:lang w:val="en-GB" w:eastAsia="fr-FR"/>
        </w:rPr>
        <w:t xml:space="preserve">) is a migratory bird also known to be a potential reservoir of bacterial and parasitic pathogens for humans and other animals. The objective of </w:t>
      </w:r>
      <w:r w:rsidRPr="00614647">
        <w:rPr>
          <w:rFonts w:asciiTheme="majorBidi" w:eastAsia="Times New Roman" w:hAnsiTheme="majorBidi" w:cstheme="majorBidi"/>
          <w:color w:val="000000"/>
          <w:sz w:val="24"/>
          <w:szCs w:val="24"/>
          <w:lang w:val="en-GB" w:eastAsia="fr-FR"/>
        </w:rPr>
        <w:lastRenderedPageBreak/>
        <w:t xml:space="preserve">this work is the study of the presence of </w:t>
      </w:r>
      <w:r w:rsidRPr="00614647">
        <w:rPr>
          <w:rFonts w:asciiTheme="majorBidi" w:eastAsia="Times New Roman" w:hAnsiTheme="majorBidi" w:cstheme="majorBidi"/>
          <w:i/>
          <w:iCs/>
          <w:color w:val="000000"/>
          <w:sz w:val="24"/>
          <w:szCs w:val="24"/>
          <w:lang w:val="en-GB" w:eastAsia="fr-FR"/>
        </w:rPr>
        <w:t xml:space="preserve">Escherichia coli, Salmonella </w:t>
      </w:r>
      <w:r w:rsidRPr="00614647">
        <w:rPr>
          <w:rFonts w:asciiTheme="majorBidi" w:eastAsia="Times New Roman" w:hAnsiTheme="majorBidi" w:cstheme="majorBidi"/>
          <w:color w:val="000000"/>
          <w:sz w:val="24"/>
          <w:szCs w:val="24"/>
          <w:lang w:val="en-GB" w:eastAsia="fr-FR"/>
        </w:rPr>
        <w:t xml:space="preserve">and parasites, in 77 samples of droppings and digestive tracts of starling corpses collected at the </w:t>
      </w:r>
      <w:proofErr w:type="spellStart"/>
      <w:r w:rsidRPr="00614647">
        <w:rPr>
          <w:rFonts w:asciiTheme="majorBidi" w:eastAsia="Times New Roman" w:hAnsiTheme="majorBidi" w:cstheme="majorBidi"/>
          <w:color w:val="000000"/>
          <w:sz w:val="24"/>
          <w:szCs w:val="24"/>
          <w:lang w:val="en-GB" w:eastAsia="fr-FR"/>
        </w:rPr>
        <w:t>Hamma</w:t>
      </w:r>
      <w:proofErr w:type="spellEnd"/>
      <w:r w:rsidRPr="00614647">
        <w:rPr>
          <w:rFonts w:asciiTheme="majorBidi" w:eastAsia="Times New Roman" w:hAnsiTheme="majorBidi" w:cstheme="majorBidi"/>
          <w:color w:val="000000"/>
          <w:sz w:val="24"/>
          <w:szCs w:val="24"/>
          <w:lang w:val="en-GB" w:eastAsia="fr-FR"/>
        </w:rPr>
        <w:t xml:space="preserve"> test garden, from November 2022 to February 2023.</w:t>
      </w:r>
    </w:p>
    <w:p w:rsidR="00614647" w:rsidRPr="00614647" w:rsidRDefault="00614647" w:rsidP="00614647">
      <w:pPr>
        <w:spacing w:after="0" w:line="480" w:lineRule="auto"/>
        <w:rPr>
          <w:rFonts w:asciiTheme="majorBidi" w:eastAsia="Times New Roman" w:hAnsiTheme="majorBidi" w:cstheme="majorBidi"/>
          <w:color w:val="000000"/>
          <w:sz w:val="24"/>
          <w:szCs w:val="24"/>
          <w:lang w:val="en-GB" w:eastAsia="fr-FR"/>
        </w:rPr>
      </w:pPr>
      <w:r w:rsidRPr="00614647">
        <w:rPr>
          <w:rFonts w:asciiTheme="majorBidi" w:eastAsia="Times New Roman" w:hAnsiTheme="majorBidi" w:cstheme="majorBidi"/>
          <w:color w:val="000000"/>
          <w:sz w:val="24"/>
          <w:szCs w:val="24"/>
          <w:lang w:val="en-GB" w:eastAsia="fr-FR"/>
        </w:rPr>
        <w:t xml:space="preserve">The bacteriological analysis focused on 17 </w:t>
      </w:r>
      <w:proofErr w:type="spellStart"/>
      <w:r w:rsidRPr="00614647">
        <w:rPr>
          <w:rFonts w:asciiTheme="majorBidi" w:eastAsia="Times New Roman" w:hAnsiTheme="majorBidi" w:cstheme="majorBidi"/>
          <w:color w:val="000000"/>
          <w:sz w:val="24"/>
          <w:szCs w:val="24"/>
          <w:lang w:val="en-GB" w:eastAsia="fr-FR"/>
        </w:rPr>
        <w:t>fecal</w:t>
      </w:r>
      <w:proofErr w:type="spellEnd"/>
      <w:r w:rsidRPr="00614647">
        <w:rPr>
          <w:rFonts w:asciiTheme="majorBidi" w:eastAsia="Times New Roman" w:hAnsiTheme="majorBidi" w:cstheme="majorBidi"/>
          <w:color w:val="000000"/>
          <w:sz w:val="24"/>
          <w:szCs w:val="24"/>
          <w:lang w:val="en-GB" w:eastAsia="fr-FR"/>
        </w:rPr>
        <w:t xml:space="preserve"> samples. In total, 137 colonies were isolated, on two selective media </w:t>
      </w:r>
      <w:proofErr w:type="spellStart"/>
      <w:r w:rsidRPr="00614647">
        <w:rPr>
          <w:rFonts w:asciiTheme="majorBidi" w:eastAsia="Times New Roman" w:hAnsiTheme="majorBidi" w:cstheme="majorBidi"/>
          <w:color w:val="000000"/>
          <w:sz w:val="24"/>
          <w:szCs w:val="24"/>
          <w:lang w:val="en-GB" w:eastAsia="fr-FR"/>
        </w:rPr>
        <w:t>MacConckey</w:t>
      </w:r>
      <w:proofErr w:type="spellEnd"/>
      <w:r w:rsidRPr="00614647">
        <w:rPr>
          <w:rFonts w:asciiTheme="majorBidi" w:eastAsia="Times New Roman" w:hAnsiTheme="majorBidi" w:cstheme="majorBidi"/>
          <w:color w:val="000000"/>
          <w:sz w:val="24"/>
          <w:szCs w:val="24"/>
          <w:lang w:val="en-GB" w:eastAsia="fr-FR"/>
        </w:rPr>
        <w:t xml:space="preserve"> and </w:t>
      </w:r>
      <w:proofErr w:type="spellStart"/>
      <w:r w:rsidRPr="00614647">
        <w:rPr>
          <w:rFonts w:asciiTheme="majorBidi" w:eastAsia="Times New Roman" w:hAnsiTheme="majorBidi" w:cstheme="majorBidi"/>
          <w:color w:val="000000"/>
          <w:sz w:val="24"/>
          <w:szCs w:val="24"/>
          <w:lang w:val="en-GB" w:eastAsia="fr-FR"/>
        </w:rPr>
        <w:t>Hektoen</w:t>
      </w:r>
      <w:proofErr w:type="spellEnd"/>
      <w:r w:rsidRPr="00614647">
        <w:rPr>
          <w:rFonts w:asciiTheme="majorBidi" w:eastAsia="Times New Roman" w:hAnsiTheme="majorBidi" w:cstheme="majorBidi"/>
          <w:color w:val="000000"/>
          <w:sz w:val="24"/>
          <w:szCs w:val="24"/>
          <w:lang w:val="en-GB" w:eastAsia="fr-FR"/>
        </w:rPr>
        <w:t>. The presumptive and non-confirmatory identification of the colonies, on a classic biochemical gallery, shows 40 E.coli colonies (29</w:t>
      </w:r>
      <w:proofErr w:type="gramStart"/>
      <w:r w:rsidRPr="00614647">
        <w:rPr>
          <w:rFonts w:asciiTheme="majorBidi" w:eastAsia="Times New Roman" w:hAnsiTheme="majorBidi" w:cstheme="majorBidi"/>
          <w:color w:val="000000"/>
          <w:sz w:val="24"/>
          <w:szCs w:val="24"/>
          <w:lang w:val="en-GB" w:eastAsia="fr-FR"/>
        </w:rPr>
        <w:t>,2</w:t>
      </w:r>
      <w:proofErr w:type="gramEnd"/>
      <w:r w:rsidRPr="00614647">
        <w:rPr>
          <w:rFonts w:asciiTheme="majorBidi" w:eastAsia="Times New Roman" w:hAnsiTheme="majorBidi" w:cstheme="majorBidi"/>
          <w:color w:val="000000"/>
          <w:sz w:val="24"/>
          <w:szCs w:val="24"/>
          <w:lang w:val="en-GB" w:eastAsia="fr-FR"/>
        </w:rPr>
        <w:t xml:space="preserve">%) and 1 Salmonella colony (0,73%). The rest of the colonies correspond to the genus </w:t>
      </w:r>
      <w:r w:rsidRPr="00614647">
        <w:rPr>
          <w:rFonts w:asciiTheme="majorBidi" w:eastAsia="Times New Roman" w:hAnsiTheme="majorBidi" w:cstheme="majorBidi"/>
          <w:i/>
          <w:iCs/>
          <w:color w:val="000000"/>
          <w:sz w:val="24"/>
          <w:szCs w:val="24"/>
          <w:lang w:val="en-GB" w:eastAsia="fr-FR"/>
        </w:rPr>
        <w:t>Pseudomonas</w:t>
      </w:r>
      <w:r w:rsidRPr="00614647">
        <w:rPr>
          <w:rFonts w:asciiTheme="majorBidi" w:eastAsia="Times New Roman" w:hAnsiTheme="majorBidi" w:cstheme="majorBidi"/>
          <w:color w:val="000000"/>
          <w:sz w:val="24"/>
          <w:szCs w:val="24"/>
          <w:lang w:val="en-GB" w:eastAsia="fr-FR"/>
        </w:rPr>
        <w:t xml:space="preserve">, and other </w:t>
      </w:r>
      <w:proofErr w:type="spellStart"/>
      <w:r w:rsidRPr="00614647">
        <w:rPr>
          <w:rFonts w:asciiTheme="majorBidi" w:eastAsia="Times New Roman" w:hAnsiTheme="majorBidi" w:cstheme="majorBidi"/>
          <w:color w:val="000000"/>
          <w:sz w:val="24"/>
          <w:szCs w:val="24"/>
          <w:lang w:val="en-GB" w:eastAsia="fr-FR"/>
        </w:rPr>
        <w:t>enterobacteria</w:t>
      </w:r>
      <w:proofErr w:type="spellEnd"/>
      <w:r w:rsidRPr="00614647">
        <w:rPr>
          <w:rFonts w:asciiTheme="majorBidi" w:eastAsia="Times New Roman" w:hAnsiTheme="majorBidi" w:cstheme="majorBidi"/>
          <w:color w:val="000000"/>
          <w:sz w:val="24"/>
          <w:szCs w:val="24"/>
          <w:lang w:val="en-GB" w:eastAsia="fr-FR"/>
        </w:rPr>
        <w:t xml:space="preserve"> such as </w:t>
      </w:r>
      <w:r w:rsidRPr="00614647">
        <w:rPr>
          <w:rFonts w:asciiTheme="majorBidi" w:eastAsia="Times New Roman" w:hAnsiTheme="majorBidi" w:cstheme="majorBidi"/>
          <w:i/>
          <w:iCs/>
          <w:color w:val="000000"/>
          <w:sz w:val="24"/>
          <w:szCs w:val="24"/>
          <w:lang w:val="en-GB" w:eastAsia="fr-FR"/>
        </w:rPr>
        <w:t>Yersinia</w:t>
      </w:r>
      <w:r w:rsidRPr="00614647">
        <w:rPr>
          <w:rFonts w:asciiTheme="majorBidi" w:eastAsia="Times New Roman" w:hAnsiTheme="majorBidi" w:cstheme="majorBidi"/>
          <w:color w:val="000000"/>
          <w:sz w:val="24"/>
          <w:szCs w:val="24"/>
          <w:lang w:val="en-GB" w:eastAsia="fr-FR"/>
        </w:rPr>
        <w:t xml:space="preserve">, </w:t>
      </w:r>
      <w:r w:rsidRPr="00614647">
        <w:rPr>
          <w:rFonts w:asciiTheme="majorBidi" w:eastAsia="Times New Roman" w:hAnsiTheme="majorBidi" w:cstheme="majorBidi"/>
          <w:i/>
          <w:iCs/>
          <w:color w:val="000000"/>
          <w:sz w:val="24"/>
          <w:szCs w:val="24"/>
          <w:lang w:val="en-GB" w:eastAsia="fr-FR"/>
        </w:rPr>
        <w:t>Proteus</w:t>
      </w:r>
      <w:r w:rsidRPr="00614647">
        <w:rPr>
          <w:rFonts w:asciiTheme="majorBidi" w:eastAsia="Times New Roman" w:hAnsiTheme="majorBidi" w:cstheme="majorBidi"/>
          <w:color w:val="000000"/>
          <w:sz w:val="24"/>
          <w:szCs w:val="24"/>
          <w:lang w:val="en-GB" w:eastAsia="fr-FR"/>
        </w:rPr>
        <w:t xml:space="preserve">, </w:t>
      </w:r>
      <w:proofErr w:type="spellStart"/>
      <w:r w:rsidRPr="00614647">
        <w:rPr>
          <w:rFonts w:asciiTheme="majorBidi" w:eastAsia="Times New Roman" w:hAnsiTheme="majorBidi" w:cstheme="majorBidi"/>
          <w:i/>
          <w:iCs/>
          <w:color w:val="000000"/>
          <w:sz w:val="24"/>
          <w:szCs w:val="24"/>
          <w:lang w:val="en-GB" w:eastAsia="fr-FR"/>
        </w:rPr>
        <w:t>Shigella</w:t>
      </w:r>
      <w:proofErr w:type="spellEnd"/>
      <w:r w:rsidRPr="00614647">
        <w:rPr>
          <w:rFonts w:asciiTheme="majorBidi" w:eastAsia="Times New Roman" w:hAnsiTheme="majorBidi" w:cstheme="majorBidi"/>
          <w:i/>
          <w:iCs/>
          <w:color w:val="000000"/>
          <w:sz w:val="24"/>
          <w:szCs w:val="24"/>
          <w:lang w:val="en-GB" w:eastAsia="fr-FR"/>
        </w:rPr>
        <w:t xml:space="preserve"> </w:t>
      </w:r>
      <w:r w:rsidRPr="00614647">
        <w:rPr>
          <w:rFonts w:asciiTheme="majorBidi" w:eastAsia="Times New Roman" w:hAnsiTheme="majorBidi" w:cstheme="majorBidi"/>
          <w:color w:val="000000"/>
          <w:sz w:val="24"/>
          <w:szCs w:val="24"/>
          <w:lang w:val="en-GB" w:eastAsia="fr-FR"/>
        </w:rPr>
        <w:t xml:space="preserve">and </w:t>
      </w:r>
      <w:proofErr w:type="spellStart"/>
      <w:r w:rsidRPr="00614647">
        <w:rPr>
          <w:rFonts w:asciiTheme="majorBidi" w:eastAsia="Times New Roman" w:hAnsiTheme="majorBidi" w:cstheme="majorBidi"/>
          <w:i/>
          <w:iCs/>
          <w:color w:val="000000"/>
          <w:sz w:val="24"/>
          <w:szCs w:val="24"/>
          <w:lang w:val="en-GB" w:eastAsia="fr-FR"/>
        </w:rPr>
        <w:t>Serratia</w:t>
      </w:r>
      <w:proofErr w:type="spellEnd"/>
      <w:r w:rsidRPr="00614647">
        <w:rPr>
          <w:rFonts w:asciiTheme="majorBidi" w:eastAsia="Times New Roman" w:hAnsiTheme="majorBidi" w:cstheme="majorBidi"/>
          <w:color w:val="000000"/>
          <w:sz w:val="24"/>
          <w:szCs w:val="24"/>
          <w:lang w:val="en-GB" w:eastAsia="fr-FR"/>
        </w:rPr>
        <w:t>.</w:t>
      </w:r>
    </w:p>
    <w:p w:rsidR="00614647" w:rsidRPr="00614647" w:rsidRDefault="00614647" w:rsidP="00614647">
      <w:pPr>
        <w:spacing w:after="0" w:line="480" w:lineRule="auto"/>
        <w:rPr>
          <w:rFonts w:asciiTheme="majorBidi" w:eastAsia="Times New Roman" w:hAnsiTheme="majorBidi" w:cstheme="majorBidi"/>
          <w:color w:val="000000"/>
          <w:sz w:val="24"/>
          <w:szCs w:val="24"/>
          <w:lang w:val="en-GB" w:eastAsia="fr-FR"/>
        </w:rPr>
      </w:pPr>
      <w:r w:rsidRPr="00614647">
        <w:rPr>
          <w:rFonts w:asciiTheme="majorBidi" w:eastAsia="Times New Roman" w:hAnsiTheme="majorBidi" w:cstheme="majorBidi"/>
          <w:color w:val="000000"/>
          <w:sz w:val="24"/>
          <w:szCs w:val="24"/>
          <w:lang w:val="en-GB" w:eastAsia="fr-FR"/>
        </w:rPr>
        <w:t xml:space="preserve">The parasitological analysis of 51 </w:t>
      </w:r>
      <w:proofErr w:type="spellStart"/>
      <w:r w:rsidRPr="00614647">
        <w:rPr>
          <w:rFonts w:asciiTheme="majorBidi" w:eastAsia="Times New Roman" w:hAnsiTheme="majorBidi" w:cstheme="majorBidi"/>
          <w:color w:val="000000"/>
          <w:sz w:val="24"/>
          <w:szCs w:val="24"/>
          <w:lang w:val="en-GB" w:eastAsia="fr-FR"/>
        </w:rPr>
        <w:t>fecal</w:t>
      </w:r>
      <w:proofErr w:type="spellEnd"/>
      <w:r w:rsidRPr="00614647">
        <w:rPr>
          <w:rFonts w:asciiTheme="majorBidi" w:eastAsia="Times New Roman" w:hAnsiTheme="majorBidi" w:cstheme="majorBidi"/>
          <w:color w:val="000000"/>
          <w:sz w:val="24"/>
          <w:szCs w:val="24"/>
          <w:lang w:val="en-GB" w:eastAsia="fr-FR"/>
        </w:rPr>
        <w:t xml:space="preserve"> samples and 9 digestive tracts, using the flotation technique, shows a high parasitism rate (78.4%). 3 species were identified (</w:t>
      </w:r>
      <w:proofErr w:type="spellStart"/>
      <w:r w:rsidRPr="00614647">
        <w:rPr>
          <w:rFonts w:asciiTheme="majorBidi" w:eastAsia="Times New Roman" w:hAnsiTheme="majorBidi" w:cstheme="majorBidi"/>
          <w:i/>
          <w:iCs/>
          <w:color w:val="000000"/>
          <w:sz w:val="24"/>
          <w:szCs w:val="24"/>
          <w:lang w:val="en-GB" w:eastAsia="fr-FR"/>
        </w:rPr>
        <w:t>Isospora</w:t>
      </w:r>
      <w:proofErr w:type="spellEnd"/>
      <w:r w:rsidRPr="00614647">
        <w:rPr>
          <w:rFonts w:asciiTheme="majorBidi" w:eastAsia="Times New Roman" w:hAnsiTheme="majorBidi" w:cstheme="majorBidi"/>
          <w:i/>
          <w:iCs/>
          <w:color w:val="000000"/>
          <w:sz w:val="24"/>
          <w:szCs w:val="24"/>
          <w:lang w:val="en-GB" w:eastAsia="fr-FR"/>
        </w:rPr>
        <w:t xml:space="preserve"> </w:t>
      </w:r>
      <w:r w:rsidRPr="00614647">
        <w:rPr>
          <w:rFonts w:asciiTheme="majorBidi" w:eastAsia="Times New Roman" w:hAnsiTheme="majorBidi" w:cstheme="majorBidi"/>
          <w:color w:val="000000"/>
          <w:sz w:val="24"/>
          <w:szCs w:val="24"/>
          <w:lang w:val="en-GB" w:eastAsia="fr-FR"/>
        </w:rPr>
        <w:t xml:space="preserve">sp., </w:t>
      </w:r>
      <w:proofErr w:type="spellStart"/>
      <w:r w:rsidRPr="00614647">
        <w:rPr>
          <w:rFonts w:asciiTheme="majorBidi" w:eastAsia="Times New Roman" w:hAnsiTheme="majorBidi" w:cstheme="majorBidi"/>
          <w:i/>
          <w:iCs/>
          <w:color w:val="000000"/>
          <w:sz w:val="24"/>
          <w:szCs w:val="24"/>
          <w:lang w:val="en-GB" w:eastAsia="fr-FR"/>
        </w:rPr>
        <w:t>Acaria</w:t>
      </w:r>
      <w:proofErr w:type="spellEnd"/>
      <w:r w:rsidRPr="00614647">
        <w:rPr>
          <w:rFonts w:asciiTheme="majorBidi" w:eastAsia="Times New Roman" w:hAnsiTheme="majorBidi" w:cstheme="majorBidi"/>
          <w:i/>
          <w:iCs/>
          <w:color w:val="000000"/>
          <w:sz w:val="24"/>
          <w:szCs w:val="24"/>
          <w:lang w:val="en-GB" w:eastAsia="fr-FR"/>
        </w:rPr>
        <w:t xml:space="preserve"> </w:t>
      </w:r>
      <w:r w:rsidRPr="00614647">
        <w:rPr>
          <w:rFonts w:asciiTheme="majorBidi" w:eastAsia="Times New Roman" w:hAnsiTheme="majorBidi" w:cstheme="majorBidi"/>
          <w:color w:val="000000"/>
          <w:sz w:val="24"/>
          <w:szCs w:val="24"/>
          <w:lang w:val="en-GB" w:eastAsia="fr-FR"/>
        </w:rPr>
        <w:t xml:space="preserve">sp. </w:t>
      </w:r>
      <w:proofErr w:type="spellStart"/>
      <w:r w:rsidRPr="00614647">
        <w:rPr>
          <w:rFonts w:asciiTheme="majorBidi" w:eastAsia="Times New Roman" w:hAnsiTheme="majorBidi" w:cstheme="majorBidi"/>
          <w:color w:val="000000"/>
          <w:sz w:val="24"/>
          <w:szCs w:val="24"/>
          <w:lang w:val="en-GB" w:eastAsia="fr-FR"/>
        </w:rPr>
        <w:t>ind.</w:t>
      </w:r>
      <w:proofErr w:type="spellEnd"/>
      <w:r w:rsidRPr="00614647">
        <w:rPr>
          <w:rFonts w:asciiTheme="majorBidi" w:eastAsia="Times New Roman" w:hAnsiTheme="majorBidi" w:cstheme="majorBidi"/>
          <w:color w:val="000000"/>
          <w:sz w:val="24"/>
          <w:szCs w:val="24"/>
          <w:lang w:val="en-GB" w:eastAsia="fr-FR"/>
        </w:rPr>
        <w:t xml:space="preserve"> and </w:t>
      </w:r>
      <w:proofErr w:type="spellStart"/>
      <w:r w:rsidRPr="00614647">
        <w:rPr>
          <w:rFonts w:asciiTheme="majorBidi" w:eastAsia="Times New Roman" w:hAnsiTheme="majorBidi" w:cstheme="majorBidi"/>
          <w:i/>
          <w:iCs/>
          <w:color w:val="000000"/>
          <w:sz w:val="24"/>
          <w:szCs w:val="24"/>
          <w:lang w:val="en-GB" w:eastAsia="fr-FR"/>
        </w:rPr>
        <w:t>Nematoda</w:t>
      </w:r>
      <w:proofErr w:type="spellEnd"/>
      <w:r w:rsidRPr="00614647">
        <w:rPr>
          <w:rFonts w:asciiTheme="majorBidi" w:eastAsia="Times New Roman" w:hAnsiTheme="majorBidi" w:cstheme="majorBidi"/>
          <w:i/>
          <w:iCs/>
          <w:color w:val="000000"/>
          <w:sz w:val="24"/>
          <w:szCs w:val="24"/>
          <w:lang w:val="en-GB" w:eastAsia="fr-FR"/>
        </w:rPr>
        <w:t xml:space="preserve"> </w:t>
      </w:r>
      <w:r w:rsidRPr="00614647">
        <w:rPr>
          <w:rFonts w:asciiTheme="majorBidi" w:eastAsia="Times New Roman" w:hAnsiTheme="majorBidi" w:cstheme="majorBidi"/>
          <w:color w:val="000000"/>
          <w:sz w:val="24"/>
          <w:szCs w:val="24"/>
          <w:lang w:val="en-GB" w:eastAsia="fr-FR"/>
        </w:rPr>
        <w:t xml:space="preserve">sp. </w:t>
      </w:r>
      <w:proofErr w:type="spellStart"/>
      <w:proofErr w:type="gramStart"/>
      <w:r w:rsidRPr="00614647">
        <w:rPr>
          <w:rFonts w:asciiTheme="majorBidi" w:eastAsia="Times New Roman" w:hAnsiTheme="majorBidi" w:cstheme="majorBidi"/>
          <w:color w:val="000000"/>
          <w:sz w:val="24"/>
          <w:szCs w:val="24"/>
          <w:lang w:val="en-GB" w:eastAsia="fr-FR"/>
        </w:rPr>
        <w:t>ind</w:t>
      </w:r>
      <w:proofErr w:type="gramEnd"/>
      <w:r w:rsidRPr="00614647">
        <w:rPr>
          <w:rFonts w:asciiTheme="majorBidi" w:eastAsia="Times New Roman" w:hAnsiTheme="majorBidi" w:cstheme="majorBidi"/>
          <w:color w:val="000000"/>
          <w:sz w:val="24"/>
          <w:szCs w:val="24"/>
          <w:lang w:val="en-GB" w:eastAsia="fr-FR"/>
        </w:rPr>
        <w:t>.</w:t>
      </w:r>
      <w:proofErr w:type="spellEnd"/>
      <w:r w:rsidRPr="00614647">
        <w:rPr>
          <w:rFonts w:asciiTheme="majorBidi" w:eastAsia="Times New Roman" w:hAnsiTheme="majorBidi" w:cstheme="majorBidi"/>
          <w:color w:val="000000"/>
          <w:sz w:val="24"/>
          <w:szCs w:val="24"/>
          <w:lang w:val="en-GB" w:eastAsia="fr-FR"/>
        </w:rPr>
        <w:t xml:space="preserve">). The relative abundances, </w:t>
      </w:r>
      <w:proofErr w:type="spellStart"/>
      <w:r w:rsidRPr="00614647">
        <w:rPr>
          <w:rFonts w:asciiTheme="majorBidi" w:eastAsia="Times New Roman" w:hAnsiTheme="majorBidi" w:cstheme="majorBidi"/>
          <w:color w:val="000000"/>
          <w:sz w:val="24"/>
          <w:szCs w:val="24"/>
          <w:lang w:val="en-GB" w:eastAsia="fr-FR"/>
        </w:rPr>
        <w:t>prevalences</w:t>
      </w:r>
      <w:proofErr w:type="spellEnd"/>
      <w:r w:rsidRPr="00614647">
        <w:rPr>
          <w:rFonts w:asciiTheme="majorBidi" w:eastAsia="Times New Roman" w:hAnsiTheme="majorBidi" w:cstheme="majorBidi"/>
          <w:color w:val="000000"/>
          <w:sz w:val="24"/>
          <w:szCs w:val="24"/>
          <w:lang w:val="en-GB" w:eastAsia="fr-FR"/>
        </w:rPr>
        <w:t xml:space="preserve"> and average intensities of parasites vary between weeks and months.</w:t>
      </w:r>
    </w:p>
    <w:p w:rsidR="00014BDB" w:rsidRPr="00614647" w:rsidRDefault="00614647" w:rsidP="00614647">
      <w:pPr>
        <w:spacing w:after="0" w:line="480" w:lineRule="auto"/>
        <w:rPr>
          <w:rFonts w:asciiTheme="majorBidi" w:hAnsiTheme="majorBidi" w:cstheme="majorBidi"/>
          <w:sz w:val="24"/>
          <w:szCs w:val="24"/>
          <w:lang w:val="en-GB"/>
        </w:rPr>
      </w:pPr>
      <w:r w:rsidRPr="00614647">
        <w:rPr>
          <w:rFonts w:asciiTheme="majorBidi" w:eastAsia="Times New Roman" w:hAnsiTheme="majorBidi" w:cstheme="majorBidi"/>
          <w:color w:val="000000"/>
          <w:sz w:val="24"/>
          <w:szCs w:val="24"/>
          <w:lang w:val="en-GB" w:eastAsia="fr-FR"/>
        </w:rPr>
        <w:t>A confirmatory characterization of the bacterial species and parasites identified in our study will make it possible to estimate the potential risk of European starling droppings for human and animal health.</w:t>
      </w:r>
    </w:p>
    <w:sectPr w:rsidR="00014BDB" w:rsidRPr="00614647"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474</Words>
  <Characters>2610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36</cp:revision>
  <dcterms:created xsi:type="dcterms:W3CDTF">2024-04-16T09:02:00Z</dcterms:created>
  <dcterms:modified xsi:type="dcterms:W3CDTF">2024-04-17T13:55:00Z</dcterms:modified>
</cp:coreProperties>
</file>