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8B3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r w:rsidR="008B386E" w:rsidRPr="008B386E">
        <w:rPr>
          <w:rFonts w:asciiTheme="majorBidi" w:hAnsiTheme="majorBidi" w:cstheme="majorBidi"/>
          <w:sz w:val="28"/>
          <w:szCs w:val="28"/>
        </w:rPr>
        <w:t>Risk factors of clinical and subclinical endometritis in cattle: a review</w:t>
      </w:r>
    </w:p>
    <w:p w:rsidR="00753682" w:rsidRDefault="00753682" w:rsidP="00753682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The postpartum period is a critical period in the life of dairy cattle and management of the most important problems and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diseases at an early stage represents the key to successful dairy herd management. Endometritis is one of the most important and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dramatic diseases that disrupt the reproductive performance of cows and reduce the livestock profitability. Because endometritis is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a multifactorial disease and is caused by nonspecific bacteria, determining all the factors that enhance its risk of occurrence is more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important than treating the disease. This review considers the evidence regarding the risk factors for postpartum endometritis in dair</w:t>
      </w:r>
      <w:bookmarkStart w:id="0" w:name="_GoBack"/>
      <w:bookmarkEnd w:id="0"/>
      <w:r w:rsidRPr="008B386E">
        <w:rPr>
          <w:rFonts w:asciiTheme="majorBidi" w:hAnsiTheme="majorBidi" w:cstheme="majorBidi"/>
          <w:sz w:val="28"/>
          <w:szCs w:val="28"/>
        </w:rPr>
        <w:t>y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cattle in an attempt to explain the causality between each risk factor and both clinical and subclinical endometritis. The present article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will discuss the importance of determining the risk factors of endometritis that must be considered for the treatment of cows. For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example, antibiotics must be associated with improvement of the rations in the case of nutritional deficit and metabolic problems.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Furthermore, these risk factors represent an alternative to treatment by including them in an adequate preventive strategy to master at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lastRenderedPageBreak/>
        <w:t>least the most important risk factor to limit the prevalence and severity of endometritis. We conclude that some factors are specific for</w:t>
      </w:r>
    </w:p>
    <w:p w:rsidR="008B386E" w:rsidRPr="008B386E" w:rsidRDefault="008B386E" w:rsidP="008B386E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8B386E">
        <w:rPr>
          <w:rFonts w:asciiTheme="majorBidi" w:hAnsiTheme="majorBidi" w:cstheme="majorBidi"/>
          <w:sz w:val="28"/>
          <w:szCs w:val="28"/>
        </w:rPr>
        <w:t>one form of endometritis and some others are common between clinical and subclinical endometritis, but all of them make the disease</w:t>
      </w:r>
    </w:p>
    <w:p w:rsidR="00014BDB" w:rsidRPr="00A43522" w:rsidRDefault="008B386E" w:rsidP="008B386E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B386E">
        <w:rPr>
          <w:rFonts w:asciiTheme="majorBidi" w:hAnsiTheme="majorBidi" w:cstheme="majorBidi"/>
          <w:sz w:val="28"/>
          <w:szCs w:val="28"/>
        </w:rPr>
        <w:t>more severe and frequent.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607</cp:revision>
  <dcterms:created xsi:type="dcterms:W3CDTF">2019-12-10T12:38:00Z</dcterms:created>
  <dcterms:modified xsi:type="dcterms:W3CDTF">2025-01-16T13:25:00Z</dcterms:modified>
</cp:coreProperties>
</file>