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A6" w:rsidRDefault="00103081" w:rsidP="00506844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506844" w:rsidRPr="00506844">
        <w:rPr>
          <w:i/>
          <w:iCs/>
          <w:color w:val="1F1F1F"/>
        </w:rPr>
        <w:t>RISK FACTORS FOR DIARRHEA IN CALVES UNDER ONE MONTH OF AGE</w:t>
      </w:r>
    </w:p>
    <w:p w:rsidR="00834BAA" w:rsidRPr="00834BAA" w:rsidRDefault="00834BAA" w:rsidP="00834BA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506844" w:rsidP="00506844">
      <w:pPr>
        <w:rPr>
          <w:rFonts w:asciiTheme="majorBidi" w:hAnsiTheme="majorBidi" w:cstheme="majorBidi"/>
          <w:sz w:val="28"/>
          <w:szCs w:val="28"/>
        </w:rPr>
      </w:pPr>
      <w:r w:rsidRPr="00506844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in four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regions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involved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816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veal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belonging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to 53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randomly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selected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beef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herds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diarrhea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mortality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and the association of a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suspected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calves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less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30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. A questionnaire has been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provided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to report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diarrhea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onset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mortality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factor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correlated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morbidity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rate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of 29.17 % and the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death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rate of 11.76 %.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logistic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regression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appeared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season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, nursing area,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multiparity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and navel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disinfection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maternal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nutrition and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sex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newborn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likely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to no</w:t>
      </w:r>
      <w:bookmarkStart w:id="0" w:name="_GoBack"/>
      <w:bookmarkEnd w:id="0"/>
      <w:r w:rsidRPr="00506844">
        <w:rPr>
          <w:rFonts w:asciiTheme="majorBidi" w:hAnsiTheme="majorBidi" w:cstheme="majorBidi"/>
          <w:sz w:val="28"/>
          <w:szCs w:val="28"/>
        </w:rPr>
        <w:t xml:space="preserve">t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diarrhea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06844">
        <w:rPr>
          <w:rFonts w:asciiTheme="majorBidi" w:hAnsiTheme="majorBidi" w:cstheme="majorBidi"/>
          <w:sz w:val="28"/>
          <w:szCs w:val="28"/>
        </w:rPr>
        <w:t>onset</w:t>
      </w:r>
      <w:proofErr w:type="spellEnd"/>
      <w:r w:rsidRPr="00506844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673</cp:revision>
  <dcterms:created xsi:type="dcterms:W3CDTF">2019-12-10T12:38:00Z</dcterms:created>
  <dcterms:modified xsi:type="dcterms:W3CDTF">2025-01-22T10:02:00Z</dcterms:modified>
</cp:coreProperties>
</file>