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1D5589">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1D5589" w:rsidRPr="001D5589">
        <w:rPr>
          <w:rFonts w:ascii="Times New Roman" w:hAnsi="Times New Roman" w:cs="Times New Roman"/>
          <w:b/>
          <w:bCs/>
          <w:sz w:val="36"/>
          <w:szCs w:val="36"/>
        </w:rPr>
        <w:t>Prévalence des endoparasites (tubes digestifs) du lapin domestique (</w:t>
      </w:r>
      <w:proofErr w:type="spellStart"/>
      <w:r w:rsidR="001D5589" w:rsidRPr="001D5589">
        <w:rPr>
          <w:rFonts w:ascii="Times New Roman" w:hAnsi="Times New Roman" w:cs="Times New Roman"/>
          <w:b/>
          <w:bCs/>
          <w:sz w:val="36"/>
          <w:szCs w:val="36"/>
        </w:rPr>
        <w:t>Oryctolagus</w:t>
      </w:r>
      <w:proofErr w:type="spellEnd"/>
      <w:r w:rsidR="001D5589" w:rsidRPr="001D5589">
        <w:rPr>
          <w:rFonts w:ascii="Times New Roman" w:hAnsi="Times New Roman" w:cs="Times New Roman"/>
          <w:b/>
          <w:bCs/>
          <w:sz w:val="36"/>
          <w:szCs w:val="36"/>
        </w:rPr>
        <w:t xml:space="preserve"> </w:t>
      </w:r>
      <w:proofErr w:type="spellStart"/>
      <w:r w:rsidR="001D5589" w:rsidRPr="001D5589">
        <w:rPr>
          <w:rFonts w:ascii="Times New Roman" w:hAnsi="Times New Roman" w:cs="Times New Roman"/>
          <w:b/>
          <w:bCs/>
          <w:sz w:val="36"/>
          <w:szCs w:val="36"/>
        </w:rPr>
        <w:t>cuniculus</w:t>
      </w:r>
      <w:proofErr w:type="spellEnd"/>
      <w:r w:rsidR="001D5589" w:rsidRPr="001D5589">
        <w:rPr>
          <w:rFonts w:ascii="Times New Roman" w:hAnsi="Times New Roman" w:cs="Times New Roman"/>
          <w:b/>
          <w:bCs/>
          <w:sz w:val="36"/>
          <w:szCs w:val="36"/>
        </w:rPr>
        <w:t>, Linné, 1758)</w:t>
      </w:r>
      <w:r w:rsidR="001D5589">
        <w:rPr>
          <w:rFonts w:ascii="Times New Roman" w:hAnsi="Times New Roman" w:cs="Times New Roman"/>
          <w:b/>
          <w:bCs/>
          <w:sz w:val="36"/>
          <w:szCs w:val="36"/>
        </w:rPr>
        <w:t xml:space="preserve"> : </w:t>
      </w:r>
      <w:r w:rsidR="001D5589" w:rsidRPr="001D5589">
        <w:rPr>
          <w:rFonts w:ascii="Times New Roman" w:hAnsi="Times New Roman" w:cs="Times New Roman"/>
          <w:b/>
          <w:bCs/>
          <w:sz w:val="36"/>
          <w:szCs w:val="36"/>
        </w:rPr>
        <w:t>cas de la région d’</w:t>
      </w:r>
      <w:proofErr w:type="spellStart"/>
      <w:r w:rsidR="001D5589" w:rsidRPr="001D5589">
        <w:rPr>
          <w:rFonts w:ascii="Times New Roman" w:hAnsi="Times New Roman" w:cs="Times New Roman"/>
          <w:b/>
          <w:bCs/>
          <w:sz w:val="36"/>
          <w:szCs w:val="36"/>
        </w:rPr>
        <w:t>Aïn</w:t>
      </w:r>
      <w:proofErr w:type="spellEnd"/>
      <w:r w:rsidR="001D5589" w:rsidRPr="001D5589">
        <w:rPr>
          <w:rFonts w:ascii="Times New Roman" w:hAnsi="Times New Roman" w:cs="Times New Roman"/>
          <w:b/>
          <w:bCs/>
          <w:sz w:val="36"/>
          <w:szCs w:val="36"/>
        </w:rPr>
        <w:t xml:space="preserve"> </w:t>
      </w:r>
      <w:proofErr w:type="spellStart"/>
      <w:r w:rsidR="001D5589" w:rsidRPr="001D5589">
        <w:rPr>
          <w:rFonts w:ascii="Times New Roman" w:hAnsi="Times New Roman" w:cs="Times New Roman"/>
          <w:b/>
          <w:bCs/>
          <w:sz w:val="36"/>
          <w:szCs w:val="36"/>
        </w:rPr>
        <w:t>Defla</w:t>
      </w:r>
      <w:proofErr w:type="spellEnd"/>
      <w:r w:rsidR="001D5589" w:rsidRPr="001D5589">
        <w:rPr>
          <w:rFonts w:ascii="Times New Roman" w:hAnsi="Times New Roman" w:cs="Times New Roman"/>
          <w:b/>
          <w:bCs/>
          <w:sz w:val="36"/>
          <w:szCs w:val="36"/>
        </w:rPr>
        <w:t xml:space="preserve"> (Algérie)</w:t>
      </w:r>
    </w:p>
    <w:p w:rsidR="003215E8" w:rsidRPr="00BB432D" w:rsidRDefault="003215E8" w:rsidP="00122109">
      <w:pPr>
        <w:jc w:val="both"/>
        <w:rPr>
          <w:rFonts w:ascii="Times New Roman" w:hAnsi="Times New Roman" w:cs="Times New Roman"/>
          <w:b/>
          <w:bCs/>
          <w:sz w:val="32"/>
          <w:szCs w:val="32"/>
        </w:rPr>
      </w:pPr>
    </w:p>
    <w:p w:rsidR="001D5589" w:rsidRDefault="001D5589"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C36707" w:rsidRPr="001D5589" w:rsidRDefault="001D5589" w:rsidP="001D5589">
      <w:pPr>
        <w:jc w:val="both"/>
        <w:rPr>
          <w:rFonts w:asciiTheme="majorBidi" w:hAnsiTheme="majorBidi" w:cstheme="majorBidi"/>
          <w:b/>
          <w:bCs/>
        </w:rPr>
      </w:pPr>
      <w:r w:rsidRPr="001D5589">
        <w:rPr>
          <w:rFonts w:asciiTheme="majorBidi" w:hAnsiTheme="majorBidi" w:cstheme="majorBidi"/>
          <w:b/>
          <w:bCs/>
        </w:rPr>
        <w:t>L’élevage de lapins joue un rôle fondamental dans l’agriculture et le développement rural en Algérie, en fournissant de la viande, de la fourrure et d’autres produits dérivés. La présente étude s’intéresse aux endoparasites présents dans les contenus stomacaux de cinq lapins domestiques (</w:t>
      </w:r>
      <w:proofErr w:type="spellStart"/>
      <w:r w:rsidRPr="001D5589">
        <w:rPr>
          <w:rFonts w:asciiTheme="majorBidi" w:hAnsiTheme="majorBidi" w:cstheme="majorBidi"/>
          <w:b/>
          <w:bCs/>
        </w:rPr>
        <w:t>Oryctolagus</w:t>
      </w:r>
      <w:proofErr w:type="spellEnd"/>
      <w:r w:rsidRPr="001D5589">
        <w:rPr>
          <w:rFonts w:asciiTheme="majorBidi" w:hAnsiTheme="majorBidi" w:cstheme="majorBidi"/>
          <w:b/>
          <w:bCs/>
        </w:rPr>
        <w:t xml:space="preserve"> </w:t>
      </w:r>
      <w:proofErr w:type="spellStart"/>
      <w:r w:rsidRPr="001D5589">
        <w:rPr>
          <w:rFonts w:asciiTheme="majorBidi" w:hAnsiTheme="majorBidi" w:cstheme="majorBidi"/>
          <w:b/>
          <w:bCs/>
        </w:rPr>
        <w:t>cuniculus</w:t>
      </w:r>
      <w:proofErr w:type="spellEnd"/>
      <w:r w:rsidRPr="001D5589">
        <w:rPr>
          <w:rFonts w:asciiTheme="majorBidi" w:hAnsiTheme="majorBidi" w:cstheme="majorBidi"/>
          <w:b/>
          <w:bCs/>
        </w:rPr>
        <w:t>, Linné, 1758) élevés dans la région d’</w:t>
      </w:r>
      <w:proofErr w:type="spellStart"/>
      <w:r w:rsidRPr="001D5589">
        <w:rPr>
          <w:rFonts w:asciiTheme="majorBidi" w:hAnsiTheme="majorBidi" w:cstheme="majorBidi"/>
          <w:b/>
          <w:bCs/>
        </w:rPr>
        <w:t>Aïn</w:t>
      </w:r>
      <w:proofErr w:type="spellEnd"/>
      <w:r w:rsidRPr="001D5589">
        <w:rPr>
          <w:rFonts w:asciiTheme="majorBidi" w:hAnsiTheme="majorBidi" w:cstheme="majorBidi"/>
          <w:b/>
          <w:bCs/>
        </w:rPr>
        <w:t xml:space="preserve"> </w:t>
      </w:r>
      <w:proofErr w:type="spellStart"/>
      <w:r w:rsidRPr="001D5589">
        <w:rPr>
          <w:rFonts w:asciiTheme="majorBidi" w:hAnsiTheme="majorBidi" w:cstheme="majorBidi"/>
          <w:b/>
          <w:bCs/>
        </w:rPr>
        <w:t>Defla</w:t>
      </w:r>
      <w:proofErr w:type="spellEnd"/>
      <w:r w:rsidRPr="001D5589">
        <w:rPr>
          <w:rFonts w:asciiTheme="majorBidi" w:hAnsiTheme="majorBidi" w:cstheme="majorBidi"/>
          <w:b/>
          <w:bCs/>
        </w:rPr>
        <w:t xml:space="preserve"> (Algérie). Elle explore plusieurs aspects de l’espèce : classification biologique, morphologie,</w:t>
      </w:r>
      <w:r>
        <w:rPr>
          <w:rFonts w:asciiTheme="majorBidi" w:hAnsiTheme="majorBidi" w:cstheme="majorBidi"/>
          <w:b/>
          <w:bCs/>
        </w:rPr>
        <w:t xml:space="preserve"> </w:t>
      </w:r>
      <w:r w:rsidRPr="001D5589">
        <w:rPr>
          <w:rFonts w:asciiTheme="majorBidi" w:hAnsiTheme="majorBidi" w:cstheme="majorBidi"/>
          <w:b/>
          <w:bCs/>
        </w:rPr>
        <w:t xml:space="preserve">56 anatomie, alimentation, reproduction et répartition géographique. L’accent est mis sur les protozoaires parasites, en particulier les oocystes de coccidies. Grâce à des protocoles de prélèvement et d’analyse rigoureux, l’étude identifie les espèces parasitaires, et évalue leur prévalence ainsi que leur intensité moyenne. Les résultats révèlent une diversité parasitaire notable, notamment au sein du genre </w:t>
      </w:r>
      <w:proofErr w:type="spellStart"/>
      <w:r w:rsidRPr="001D5589">
        <w:rPr>
          <w:rFonts w:asciiTheme="majorBidi" w:hAnsiTheme="majorBidi" w:cstheme="majorBidi"/>
          <w:b/>
          <w:bCs/>
        </w:rPr>
        <w:t>Eimeria</w:t>
      </w:r>
      <w:proofErr w:type="spellEnd"/>
      <w:r w:rsidRPr="001D5589">
        <w:rPr>
          <w:rFonts w:asciiTheme="majorBidi" w:hAnsiTheme="majorBidi" w:cstheme="majorBidi"/>
          <w:b/>
          <w:bCs/>
        </w:rPr>
        <w:t xml:space="preserve">, soulignant l’importance d’une surveillance </w:t>
      </w:r>
      <w:proofErr w:type="spellStart"/>
      <w:r w:rsidRPr="001D5589">
        <w:rPr>
          <w:rFonts w:asciiTheme="majorBidi" w:hAnsiTheme="majorBidi" w:cstheme="majorBidi"/>
          <w:b/>
          <w:bCs/>
        </w:rPr>
        <w:t>parasitologique</w:t>
      </w:r>
      <w:proofErr w:type="spellEnd"/>
      <w:r w:rsidRPr="001D5589">
        <w:rPr>
          <w:rFonts w:asciiTheme="majorBidi" w:hAnsiTheme="majorBidi" w:cstheme="majorBidi"/>
          <w:b/>
          <w:bCs/>
        </w:rPr>
        <w:t xml:space="preserve"> précise dans une optique de prévention. En conclusion, ce travail contribue à enrichir les connaissances sur les parasites intestinaux du lapin en Algérie et propose des recommandations pratiques pour renforcer la gestion sanitaire et la durabilité de l’élevage </w:t>
      </w:r>
      <w:proofErr w:type="spellStart"/>
      <w:r w:rsidRPr="001D5589">
        <w:rPr>
          <w:rFonts w:asciiTheme="majorBidi" w:hAnsiTheme="majorBidi" w:cstheme="majorBidi"/>
          <w:b/>
          <w:bCs/>
        </w:rPr>
        <w:t>cunicole</w:t>
      </w:r>
      <w:proofErr w:type="spellEnd"/>
      <w:r w:rsidRPr="001D5589">
        <w:rPr>
          <w:rFonts w:asciiTheme="majorBidi" w:hAnsiTheme="majorBidi" w:cstheme="majorBidi"/>
          <w:b/>
          <w:bCs/>
        </w:rPr>
        <w:t>.</w:t>
      </w:r>
    </w:p>
    <w:p w:rsidR="001D5589" w:rsidRDefault="001D5589"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1D5589" w:rsidP="001D5589">
      <w:pPr>
        <w:jc w:val="both"/>
        <w:rPr>
          <w:rFonts w:asciiTheme="majorBidi" w:hAnsiTheme="majorBidi" w:cstheme="majorBidi"/>
          <w:b/>
          <w:bCs/>
          <w:rtl/>
          <w:lang w:val="en-US"/>
        </w:rPr>
      </w:pPr>
      <w:r w:rsidRPr="001D5589">
        <w:rPr>
          <w:rFonts w:asciiTheme="majorBidi" w:hAnsiTheme="majorBidi" w:cstheme="majorBidi"/>
          <w:b/>
          <w:bCs/>
          <w:lang w:val="en-US"/>
        </w:rPr>
        <w:t xml:space="preserve">Prevalence of Gastrointestinal </w:t>
      </w:r>
      <w:proofErr w:type="spellStart"/>
      <w:r w:rsidRPr="001D5589">
        <w:rPr>
          <w:rFonts w:asciiTheme="majorBidi" w:hAnsiTheme="majorBidi" w:cstheme="majorBidi"/>
          <w:b/>
          <w:bCs/>
          <w:lang w:val="en-US"/>
        </w:rPr>
        <w:t>Endoparasites</w:t>
      </w:r>
      <w:proofErr w:type="spellEnd"/>
      <w:r w:rsidRPr="001D5589">
        <w:rPr>
          <w:rFonts w:asciiTheme="majorBidi" w:hAnsiTheme="majorBidi" w:cstheme="majorBidi"/>
          <w:b/>
          <w:bCs/>
          <w:lang w:val="en-US"/>
        </w:rPr>
        <w:t xml:space="preserve"> in Domestic Rabbits (</w:t>
      </w:r>
      <w:proofErr w:type="spellStart"/>
      <w:r w:rsidRPr="001D5589">
        <w:rPr>
          <w:rFonts w:asciiTheme="majorBidi" w:hAnsiTheme="majorBidi" w:cstheme="majorBidi"/>
          <w:b/>
          <w:bCs/>
          <w:lang w:val="en-US"/>
        </w:rPr>
        <w:t>Oryctolagus</w:t>
      </w:r>
      <w:proofErr w:type="spellEnd"/>
      <w:r w:rsidRPr="001D5589">
        <w:rPr>
          <w:rFonts w:asciiTheme="majorBidi" w:hAnsiTheme="majorBidi" w:cstheme="majorBidi"/>
          <w:b/>
          <w:bCs/>
          <w:lang w:val="en-US"/>
        </w:rPr>
        <w:t xml:space="preserve"> </w:t>
      </w:r>
      <w:proofErr w:type="spellStart"/>
      <w:r w:rsidRPr="001D5589">
        <w:rPr>
          <w:rFonts w:asciiTheme="majorBidi" w:hAnsiTheme="majorBidi" w:cstheme="majorBidi"/>
          <w:b/>
          <w:bCs/>
          <w:lang w:val="en-US"/>
        </w:rPr>
        <w:t>cuniculus</w:t>
      </w:r>
      <w:proofErr w:type="spellEnd"/>
      <w:r w:rsidRPr="001D5589">
        <w:rPr>
          <w:rFonts w:asciiTheme="majorBidi" w:hAnsiTheme="majorBidi" w:cstheme="majorBidi"/>
          <w:b/>
          <w:bCs/>
          <w:lang w:val="en-US"/>
        </w:rPr>
        <w:t xml:space="preserve">, Linnaeus, 1758): A Case Study from the </w:t>
      </w:r>
      <w:proofErr w:type="spellStart"/>
      <w:r w:rsidRPr="001D5589">
        <w:rPr>
          <w:rFonts w:asciiTheme="majorBidi" w:hAnsiTheme="majorBidi" w:cstheme="majorBidi"/>
          <w:b/>
          <w:bCs/>
          <w:lang w:val="en-US"/>
        </w:rPr>
        <w:t>Aïn</w:t>
      </w:r>
      <w:proofErr w:type="spellEnd"/>
      <w:r w:rsidRPr="001D5589">
        <w:rPr>
          <w:rFonts w:asciiTheme="majorBidi" w:hAnsiTheme="majorBidi" w:cstheme="majorBidi"/>
          <w:b/>
          <w:bCs/>
          <w:lang w:val="en-US"/>
        </w:rPr>
        <w:t xml:space="preserve"> </w:t>
      </w:r>
      <w:proofErr w:type="spellStart"/>
      <w:r w:rsidRPr="001D5589">
        <w:rPr>
          <w:rFonts w:asciiTheme="majorBidi" w:hAnsiTheme="majorBidi" w:cstheme="majorBidi"/>
          <w:b/>
          <w:bCs/>
          <w:lang w:val="en-US"/>
        </w:rPr>
        <w:t>Defla</w:t>
      </w:r>
      <w:proofErr w:type="spellEnd"/>
      <w:r w:rsidRPr="001D5589">
        <w:rPr>
          <w:rFonts w:asciiTheme="majorBidi" w:hAnsiTheme="majorBidi" w:cstheme="majorBidi"/>
          <w:b/>
          <w:bCs/>
          <w:lang w:val="en-US"/>
        </w:rPr>
        <w:t xml:space="preserve"> Region (Algeria) Rabbit farming plays a vital role in agriculture and rural development in Algeria, providing meat, fur, and various by-products. This study investigates the </w:t>
      </w:r>
      <w:proofErr w:type="spellStart"/>
      <w:r w:rsidRPr="001D5589">
        <w:rPr>
          <w:rFonts w:asciiTheme="majorBidi" w:hAnsiTheme="majorBidi" w:cstheme="majorBidi"/>
          <w:b/>
          <w:bCs/>
          <w:lang w:val="en-US"/>
        </w:rPr>
        <w:t>endoparasites</w:t>
      </w:r>
      <w:proofErr w:type="spellEnd"/>
      <w:r w:rsidRPr="001D5589">
        <w:rPr>
          <w:rFonts w:asciiTheme="majorBidi" w:hAnsiTheme="majorBidi" w:cstheme="majorBidi"/>
          <w:b/>
          <w:bCs/>
          <w:lang w:val="en-US"/>
        </w:rPr>
        <w:t xml:space="preserve"> present in the gastric contents of five domestic rabbits (</w:t>
      </w:r>
      <w:proofErr w:type="spellStart"/>
      <w:r w:rsidRPr="001D5589">
        <w:rPr>
          <w:rFonts w:asciiTheme="majorBidi" w:hAnsiTheme="majorBidi" w:cstheme="majorBidi"/>
          <w:b/>
          <w:bCs/>
          <w:lang w:val="en-US"/>
        </w:rPr>
        <w:t>Oryctolagus</w:t>
      </w:r>
      <w:proofErr w:type="spellEnd"/>
      <w:r w:rsidRPr="001D5589">
        <w:rPr>
          <w:rFonts w:asciiTheme="majorBidi" w:hAnsiTheme="majorBidi" w:cstheme="majorBidi"/>
          <w:b/>
          <w:bCs/>
          <w:lang w:val="en-US"/>
        </w:rPr>
        <w:t xml:space="preserve"> </w:t>
      </w:r>
      <w:proofErr w:type="spellStart"/>
      <w:r w:rsidRPr="001D5589">
        <w:rPr>
          <w:rFonts w:asciiTheme="majorBidi" w:hAnsiTheme="majorBidi" w:cstheme="majorBidi"/>
          <w:b/>
          <w:bCs/>
          <w:lang w:val="en-US"/>
        </w:rPr>
        <w:t>cuniculus</w:t>
      </w:r>
      <w:proofErr w:type="spellEnd"/>
      <w:r w:rsidRPr="001D5589">
        <w:rPr>
          <w:rFonts w:asciiTheme="majorBidi" w:hAnsiTheme="majorBidi" w:cstheme="majorBidi"/>
          <w:b/>
          <w:bCs/>
          <w:lang w:val="en-US"/>
        </w:rPr>
        <w:t xml:space="preserve">, Linnaeus, 1758) from the region of </w:t>
      </w:r>
      <w:proofErr w:type="spellStart"/>
      <w:r w:rsidRPr="001D5589">
        <w:rPr>
          <w:rFonts w:asciiTheme="majorBidi" w:hAnsiTheme="majorBidi" w:cstheme="majorBidi"/>
          <w:b/>
          <w:bCs/>
          <w:lang w:val="en-US"/>
        </w:rPr>
        <w:t>Aïn</w:t>
      </w:r>
      <w:proofErr w:type="spellEnd"/>
      <w:r w:rsidRPr="001D5589">
        <w:rPr>
          <w:rFonts w:asciiTheme="majorBidi" w:hAnsiTheme="majorBidi" w:cstheme="majorBidi"/>
          <w:b/>
          <w:bCs/>
          <w:lang w:val="en-US"/>
        </w:rPr>
        <w:t xml:space="preserve"> </w:t>
      </w:r>
      <w:proofErr w:type="spellStart"/>
      <w:r w:rsidRPr="001D5589">
        <w:rPr>
          <w:rFonts w:asciiTheme="majorBidi" w:hAnsiTheme="majorBidi" w:cstheme="majorBidi"/>
          <w:b/>
          <w:bCs/>
          <w:lang w:val="en-US"/>
        </w:rPr>
        <w:t>Defla</w:t>
      </w:r>
      <w:proofErr w:type="spellEnd"/>
      <w:r w:rsidRPr="001D5589">
        <w:rPr>
          <w:rFonts w:asciiTheme="majorBidi" w:hAnsiTheme="majorBidi" w:cstheme="majorBidi"/>
          <w:b/>
          <w:bCs/>
          <w:lang w:val="en-US"/>
        </w:rPr>
        <w:t xml:space="preserve"> (Algeria). It covers multiple aspects of the species, including biological classification, morphology, anatomy, diet, reproduction, and geographic distribution. Special attention is given to protozoan parasites, particularly coccidian oocysts. Through rigorous sampling and analytical methods, the study identifies the parasitic species and evaluates their prevalence and mean intensity. The results reveal a significant parasite diversity, especially within the genus </w:t>
      </w:r>
      <w:proofErr w:type="spellStart"/>
      <w:r w:rsidRPr="001D5589">
        <w:rPr>
          <w:rFonts w:asciiTheme="majorBidi" w:hAnsiTheme="majorBidi" w:cstheme="majorBidi"/>
          <w:b/>
          <w:bCs/>
          <w:lang w:val="en-US"/>
        </w:rPr>
        <w:t>Eimeria</w:t>
      </w:r>
      <w:proofErr w:type="spellEnd"/>
      <w:r w:rsidRPr="001D5589">
        <w:rPr>
          <w:rFonts w:asciiTheme="majorBidi" w:hAnsiTheme="majorBidi" w:cstheme="majorBidi"/>
          <w:b/>
          <w:bCs/>
          <w:lang w:val="en-US"/>
        </w:rPr>
        <w:t>, underlining the need for precise parasitological monitoring for effective prevention strategies. In conclusion, this research contributes to the understanding of intestinal parasites in rabbits in Algeria and provides practical recommendations to improve animal health management and the sustainability of rabbit farming.</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4E47"/>
    <w:rsid w:val="00083CC7"/>
    <w:rsid w:val="0010366C"/>
    <w:rsid w:val="00104D95"/>
    <w:rsid w:val="00122109"/>
    <w:rsid w:val="001748E2"/>
    <w:rsid w:val="001816A2"/>
    <w:rsid w:val="001937BD"/>
    <w:rsid w:val="001B0227"/>
    <w:rsid w:val="001D5589"/>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6422D"/>
    <w:rsid w:val="00666CD3"/>
    <w:rsid w:val="006B2B50"/>
    <w:rsid w:val="006E14F4"/>
    <w:rsid w:val="00726315"/>
    <w:rsid w:val="00726724"/>
    <w:rsid w:val="00785610"/>
    <w:rsid w:val="00792743"/>
    <w:rsid w:val="0080227A"/>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711F1"/>
    <w:rsid w:val="00B7744E"/>
    <w:rsid w:val="00BA1C9C"/>
    <w:rsid w:val="00BB432D"/>
    <w:rsid w:val="00BC26FC"/>
    <w:rsid w:val="00C10EC6"/>
    <w:rsid w:val="00C36707"/>
    <w:rsid w:val="00C37177"/>
    <w:rsid w:val="00CF3228"/>
    <w:rsid w:val="00D41810"/>
    <w:rsid w:val="00D70251"/>
    <w:rsid w:val="00DC6ADA"/>
    <w:rsid w:val="00DE578A"/>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9FD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1</Pages>
  <Words>408</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71</cp:revision>
  <dcterms:created xsi:type="dcterms:W3CDTF">2025-04-14T08:20:00Z</dcterms:created>
  <dcterms:modified xsi:type="dcterms:W3CDTF">2025-11-10T09:01:00Z</dcterms:modified>
</cp:coreProperties>
</file>