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60" w:rsidRDefault="00E87F60" w:rsidP="00E87F6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E87F60">
        <w:rPr>
          <w:rFonts w:asciiTheme="majorBidi" w:hAnsiTheme="majorBidi" w:cstheme="majorBidi"/>
          <w:b/>
          <w:bCs/>
          <w:color w:val="000000"/>
          <w:sz w:val="28"/>
          <w:szCs w:val="28"/>
          <w:shd w:val="clear" w:color="auto" w:fill="FFFFFF"/>
        </w:rPr>
        <w:t>Bessas</w:t>
      </w:r>
      <w:proofErr w:type="spellEnd"/>
      <w:r>
        <w:rPr>
          <w:rFonts w:asciiTheme="majorBidi" w:hAnsiTheme="majorBidi" w:cstheme="majorBidi"/>
          <w:b/>
          <w:bCs/>
          <w:color w:val="000000"/>
          <w:sz w:val="28"/>
          <w:szCs w:val="28"/>
          <w:shd w:val="clear" w:color="auto" w:fill="FFFFFF"/>
        </w:rPr>
        <w:t xml:space="preserve"> Amina</w:t>
      </w:r>
    </w:p>
    <w:p w:rsidR="00E87F60" w:rsidRDefault="00E87F60" w:rsidP="00E87F60">
      <w:pPr>
        <w:jc w:val="center"/>
        <w:rPr>
          <w:rFonts w:asciiTheme="majorBidi" w:hAnsiTheme="majorBidi" w:cstheme="majorBidi"/>
          <w:b/>
          <w:bCs/>
          <w:color w:val="000000"/>
          <w:sz w:val="28"/>
          <w:szCs w:val="28"/>
          <w:shd w:val="clear" w:color="auto" w:fill="FFFFFF"/>
        </w:rPr>
      </w:pPr>
      <w:r w:rsidRPr="00E87F60">
        <w:rPr>
          <w:rFonts w:asciiTheme="majorBidi" w:hAnsiTheme="majorBidi" w:cstheme="majorBidi"/>
          <w:b/>
          <w:bCs/>
          <w:color w:val="000000"/>
          <w:sz w:val="28"/>
          <w:szCs w:val="28"/>
          <w:shd w:val="clear" w:color="auto" w:fill="FFFFFF"/>
        </w:rPr>
        <w:t xml:space="preserve">Contribution à l’étude des agents de rickettsioses et de </w:t>
      </w:r>
      <w:proofErr w:type="spellStart"/>
      <w:r w:rsidRPr="00E87F60">
        <w:rPr>
          <w:rFonts w:asciiTheme="majorBidi" w:hAnsiTheme="majorBidi" w:cstheme="majorBidi"/>
          <w:b/>
          <w:bCs/>
          <w:color w:val="000000"/>
          <w:sz w:val="28"/>
          <w:szCs w:val="28"/>
          <w:shd w:val="clear" w:color="auto" w:fill="FFFFFF"/>
        </w:rPr>
        <w:t>bartonelloses</w:t>
      </w:r>
      <w:proofErr w:type="spellEnd"/>
      <w:r w:rsidRPr="00E87F60">
        <w:rPr>
          <w:rFonts w:asciiTheme="majorBidi" w:hAnsiTheme="majorBidi" w:cstheme="majorBidi"/>
          <w:b/>
          <w:bCs/>
          <w:color w:val="000000"/>
          <w:sz w:val="28"/>
          <w:szCs w:val="28"/>
          <w:shd w:val="clear" w:color="auto" w:fill="FFFFFF"/>
        </w:rPr>
        <w:t xml:space="preserve"> chez les réservoirs animaux (chiens et chats errants) par des méthodes moléculaires (PCR) dans la région d’Alger </w:t>
      </w:r>
    </w:p>
    <w:p w:rsidR="00E87F60" w:rsidRDefault="00E87F60" w:rsidP="00E87F6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E87F60" w:rsidRDefault="00E87F60">
      <w:pPr>
        <w:rPr>
          <w:rFonts w:asciiTheme="majorBidi" w:hAnsiTheme="majorBidi" w:cstheme="majorBidi"/>
          <w:sz w:val="24"/>
          <w:szCs w:val="24"/>
        </w:rPr>
      </w:pPr>
      <w:r w:rsidRPr="00E87F60">
        <w:rPr>
          <w:rFonts w:asciiTheme="majorBidi" w:hAnsiTheme="majorBidi" w:cstheme="majorBidi"/>
          <w:b/>
          <w:bCs/>
          <w:sz w:val="24"/>
          <w:szCs w:val="24"/>
        </w:rPr>
        <w:t>Résumé</w:t>
      </w:r>
      <w:r w:rsidRPr="00E87F60">
        <w:rPr>
          <w:rFonts w:asciiTheme="majorBidi" w:hAnsiTheme="majorBidi" w:cstheme="majorBidi"/>
          <w:sz w:val="24"/>
          <w:szCs w:val="24"/>
        </w:rPr>
        <w:t xml:space="preserve"> : </w:t>
      </w:r>
    </w:p>
    <w:p w:rsidR="00E87F60" w:rsidRDefault="00E87F60" w:rsidP="00E87F60">
      <w:pPr>
        <w:rPr>
          <w:rFonts w:asciiTheme="majorBidi" w:hAnsiTheme="majorBidi" w:cstheme="majorBidi"/>
          <w:b/>
          <w:bCs/>
          <w:sz w:val="24"/>
          <w:szCs w:val="24"/>
          <w:lang w:val="en-US"/>
        </w:rPr>
      </w:pPr>
      <w:r w:rsidRPr="00E87F60">
        <w:rPr>
          <w:rFonts w:asciiTheme="majorBidi" w:hAnsiTheme="majorBidi" w:cstheme="majorBidi"/>
          <w:sz w:val="24"/>
          <w:szCs w:val="24"/>
        </w:rPr>
        <w:t xml:space="preserve">Les rickettsioses et les </w:t>
      </w:r>
      <w:proofErr w:type="spellStart"/>
      <w:r w:rsidRPr="00E87F60">
        <w:rPr>
          <w:rFonts w:asciiTheme="majorBidi" w:hAnsiTheme="majorBidi" w:cstheme="majorBidi"/>
          <w:sz w:val="24"/>
          <w:szCs w:val="24"/>
        </w:rPr>
        <w:t>bartonelloses</w:t>
      </w:r>
      <w:proofErr w:type="spellEnd"/>
      <w:r w:rsidRPr="00E87F60">
        <w:rPr>
          <w:rFonts w:asciiTheme="majorBidi" w:hAnsiTheme="majorBidi" w:cstheme="majorBidi"/>
          <w:sz w:val="24"/>
          <w:szCs w:val="24"/>
        </w:rPr>
        <w:t xml:space="preserve"> sont des maladies vectorielles, zoonotiques, qui prennent de plus en plus d’ampleur, surtout en santé publique. Leur réémergence dans notre pays est éventuellement due à l’apparition de nouveaux réservoirs animaux, abritant les agents pathogènes. Ce travail contribue à l’étude des réservoirs de </w:t>
      </w:r>
      <w:proofErr w:type="spellStart"/>
      <w:r w:rsidRPr="00E87F60">
        <w:rPr>
          <w:rFonts w:asciiTheme="majorBidi" w:hAnsiTheme="majorBidi" w:cstheme="majorBidi"/>
          <w:sz w:val="24"/>
          <w:szCs w:val="24"/>
        </w:rPr>
        <w:t>Rickettsia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spp</w:t>
      </w:r>
      <w:proofErr w:type="spellEnd"/>
      <w:r w:rsidRPr="00E87F60">
        <w:rPr>
          <w:rFonts w:asciiTheme="majorBidi" w:hAnsiTheme="majorBidi" w:cstheme="majorBidi"/>
          <w:sz w:val="24"/>
          <w:szCs w:val="24"/>
        </w:rPr>
        <w:t xml:space="preserve">. </w:t>
      </w:r>
      <w:proofErr w:type="gramStart"/>
      <w:r w:rsidRPr="00E87F60">
        <w:rPr>
          <w:rFonts w:asciiTheme="majorBidi" w:hAnsiTheme="majorBidi" w:cstheme="majorBidi"/>
          <w:sz w:val="24"/>
          <w:szCs w:val="24"/>
        </w:rPr>
        <w:t>et</w:t>
      </w:r>
      <w:proofErr w:type="gramEnd"/>
      <w:r w:rsidRPr="00E87F60">
        <w:rPr>
          <w:rFonts w:asciiTheme="majorBidi" w:hAnsiTheme="majorBidi" w:cstheme="majorBidi"/>
          <w:sz w:val="24"/>
          <w:szCs w:val="24"/>
        </w:rPr>
        <w:t xml:space="preserve"> de </w:t>
      </w:r>
      <w:proofErr w:type="spellStart"/>
      <w:r w:rsidRPr="00E87F60">
        <w:rPr>
          <w:rFonts w:asciiTheme="majorBidi" w:hAnsiTheme="majorBidi" w:cstheme="majorBidi"/>
          <w:sz w:val="24"/>
          <w:szCs w:val="24"/>
        </w:rPr>
        <w:t>Bartonella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spp</w:t>
      </w:r>
      <w:proofErr w:type="spellEnd"/>
      <w:r w:rsidRPr="00E87F60">
        <w:rPr>
          <w:rFonts w:asciiTheme="majorBidi" w:hAnsiTheme="majorBidi" w:cstheme="majorBidi"/>
          <w:sz w:val="24"/>
          <w:szCs w:val="24"/>
        </w:rPr>
        <w:t xml:space="preserve">. </w:t>
      </w:r>
      <w:proofErr w:type="gramStart"/>
      <w:r w:rsidRPr="00E87F60">
        <w:rPr>
          <w:rFonts w:asciiTheme="majorBidi" w:hAnsiTheme="majorBidi" w:cstheme="majorBidi"/>
          <w:sz w:val="24"/>
          <w:szCs w:val="24"/>
        </w:rPr>
        <w:t>dans</w:t>
      </w:r>
      <w:proofErr w:type="gramEnd"/>
      <w:r w:rsidRPr="00E87F60">
        <w:rPr>
          <w:rFonts w:asciiTheme="majorBidi" w:hAnsiTheme="majorBidi" w:cstheme="majorBidi"/>
          <w:sz w:val="24"/>
          <w:szCs w:val="24"/>
        </w:rPr>
        <w:t xml:space="preserve"> la wilaya d’Alger. Pour cela, des rates ont été prélevées à partir de chiens et de chats de la fourrière canine d’El-Harrach puis analysées par la méthode d’amplification génique (PCR). La PCR standard révèle que 2,86 % (1/35) des chiens sont infectés par </w:t>
      </w:r>
      <w:proofErr w:type="spellStart"/>
      <w:r w:rsidRPr="00E87F60">
        <w:rPr>
          <w:rFonts w:asciiTheme="majorBidi" w:hAnsiTheme="majorBidi" w:cstheme="majorBidi"/>
          <w:sz w:val="24"/>
          <w:szCs w:val="24"/>
        </w:rPr>
        <w:t>Rickettsia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 xml:space="preserve">. </w:t>
      </w:r>
      <w:proofErr w:type="gramStart"/>
      <w:r w:rsidRPr="00E87F60">
        <w:rPr>
          <w:rFonts w:asciiTheme="majorBidi" w:hAnsiTheme="majorBidi" w:cstheme="majorBidi"/>
          <w:sz w:val="24"/>
          <w:szCs w:val="24"/>
        </w:rPr>
        <w:t>et</w:t>
      </w:r>
      <w:proofErr w:type="gramEnd"/>
      <w:r w:rsidRPr="00E87F60">
        <w:rPr>
          <w:rFonts w:asciiTheme="majorBidi" w:hAnsiTheme="majorBidi" w:cstheme="majorBidi"/>
          <w:sz w:val="24"/>
          <w:szCs w:val="24"/>
        </w:rPr>
        <w:t xml:space="preserve"> 8 % (2/25) des chats sont positifs à </w:t>
      </w:r>
      <w:proofErr w:type="spellStart"/>
      <w:r w:rsidRPr="00E87F60">
        <w:rPr>
          <w:rFonts w:asciiTheme="majorBidi" w:hAnsiTheme="majorBidi" w:cstheme="majorBidi"/>
          <w:sz w:val="24"/>
          <w:szCs w:val="24"/>
        </w:rPr>
        <w:t>Bartonella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 xml:space="preserve">. La deuxième analyse moléculaire par la PCR en temps réel montre que les taux d’infection chez les chiens sont de 14.28% (5/35) pour </w:t>
      </w:r>
      <w:proofErr w:type="spellStart"/>
      <w:r w:rsidRPr="00E87F60">
        <w:rPr>
          <w:rFonts w:asciiTheme="majorBidi" w:hAnsiTheme="majorBidi" w:cstheme="majorBidi"/>
          <w:sz w:val="24"/>
          <w:szCs w:val="24"/>
        </w:rPr>
        <w:t>Rickettsia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 xml:space="preserve">. et 8.57 % (3/35) pour </w:t>
      </w:r>
      <w:proofErr w:type="spellStart"/>
      <w:r w:rsidRPr="00E87F60">
        <w:rPr>
          <w:rFonts w:asciiTheme="majorBidi" w:hAnsiTheme="majorBidi" w:cstheme="majorBidi"/>
          <w:sz w:val="24"/>
          <w:szCs w:val="24"/>
        </w:rPr>
        <w:t>Bartonella</w:t>
      </w:r>
      <w:proofErr w:type="spellEnd"/>
      <w:r w:rsidRPr="00E87F60">
        <w:rPr>
          <w:rFonts w:asciiTheme="majorBidi" w:hAnsiTheme="majorBidi" w:cstheme="majorBidi"/>
          <w:sz w:val="24"/>
          <w:szCs w:val="24"/>
        </w:rPr>
        <w:t xml:space="preserve"> </w:t>
      </w:r>
      <w:proofErr w:type="spellStart"/>
      <w:proofErr w:type="gram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w:t>
      </w:r>
      <w:proofErr w:type="gramEnd"/>
      <w:r w:rsidRPr="00E87F60">
        <w:rPr>
          <w:rFonts w:asciiTheme="majorBidi" w:hAnsiTheme="majorBidi" w:cstheme="majorBidi"/>
          <w:sz w:val="24"/>
          <w:szCs w:val="24"/>
        </w:rPr>
        <w:t xml:space="preserve"> tandis que les taux de positivité chez les chats sont de 20 % (5/25) et de 8 % (2/25) pour </w:t>
      </w:r>
      <w:proofErr w:type="spellStart"/>
      <w:r w:rsidRPr="00E87F60">
        <w:rPr>
          <w:rFonts w:asciiTheme="majorBidi" w:hAnsiTheme="majorBidi" w:cstheme="majorBidi"/>
          <w:sz w:val="24"/>
          <w:szCs w:val="24"/>
        </w:rPr>
        <w:t>pour</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Bartonella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 xml:space="preserve">. </w:t>
      </w:r>
      <w:proofErr w:type="gramStart"/>
      <w:r w:rsidRPr="00E87F60">
        <w:rPr>
          <w:rFonts w:asciiTheme="majorBidi" w:hAnsiTheme="majorBidi" w:cstheme="majorBidi"/>
          <w:sz w:val="24"/>
          <w:szCs w:val="24"/>
        </w:rPr>
        <w:t>et</w:t>
      </w:r>
      <w:proofErr w:type="gram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Rickettsia</w:t>
      </w:r>
      <w:proofErr w:type="spellEnd"/>
      <w:r w:rsidRPr="00E87F60">
        <w:rPr>
          <w:rFonts w:asciiTheme="majorBidi" w:hAnsiTheme="majorBidi" w:cstheme="majorBidi"/>
          <w:sz w:val="24"/>
          <w:szCs w:val="24"/>
        </w:rPr>
        <w:t xml:space="preserve"> </w:t>
      </w:r>
      <w:proofErr w:type="spellStart"/>
      <w:r w:rsidRPr="00E87F60">
        <w:rPr>
          <w:rFonts w:asciiTheme="majorBidi" w:hAnsiTheme="majorBidi" w:cstheme="majorBidi"/>
          <w:sz w:val="24"/>
          <w:szCs w:val="24"/>
        </w:rPr>
        <w:t>sp</w:t>
      </w:r>
      <w:proofErr w:type="spellEnd"/>
      <w:r w:rsidRPr="00E87F60">
        <w:rPr>
          <w:rFonts w:asciiTheme="majorBidi" w:hAnsiTheme="majorBidi" w:cstheme="majorBidi"/>
          <w:sz w:val="24"/>
          <w:szCs w:val="24"/>
        </w:rPr>
        <w:t xml:space="preserve">. </w:t>
      </w:r>
      <w:proofErr w:type="gramStart"/>
      <w:r w:rsidRPr="00E87F60">
        <w:rPr>
          <w:rFonts w:asciiTheme="majorBidi" w:hAnsiTheme="majorBidi" w:cstheme="majorBidi"/>
          <w:sz w:val="24"/>
          <w:szCs w:val="24"/>
        </w:rPr>
        <w:t>respectivement</w:t>
      </w:r>
      <w:proofErr w:type="gramEnd"/>
      <w:r w:rsidRPr="00E87F60">
        <w:rPr>
          <w:rFonts w:asciiTheme="majorBidi" w:hAnsiTheme="majorBidi" w:cstheme="majorBidi"/>
          <w:sz w:val="24"/>
          <w:szCs w:val="24"/>
        </w:rPr>
        <w:t>. Du point de vue épidémiologique, nos résultats suggèrent que les chiens et les chats peuvent être considérés comme hôtes sentinelles ou plutôt réservoirs de ces agents pathogènes, et jouent certainement un rôle dans la persistance de ces infections dans la nature.</w:t>
      </w:r>
      <w:r w:rsidRPr="00E87F60">
        <w:rPr>
          <w:rFonts w:asciiTheme="majorBidi" w:hAnsiTheme="majorBidi" w:cstheme="majorBidi"/>
          <w:sz w:val="24"/>
          <w:szCs w:val="24"/>
        </w:rPr>
        <w:br/>
      </w:r>
      <w:r w:rsidRPr="00E87F60">
        <w:rPr>
          <w:rFonts w:asciiTheme="majorBidi" w:hAnsiTheme="majorBidi" w:cstheme="majorBidi"/>
          <w:sz w:val="24"/>
          <w:szCs w:val="24"/>
        </w:rPr>
        <w:br/>
      </w:r>
      <w:r w:rsidRPr="00E87F60">
        <w:rPr>
          <w:rFonts w:asciiTheme="majorBidi" w:hAnsiTheme="majorBidi" w:cstheme="majorBidi"/>
          <w:b/>
          <w:bCs/>
          <w:sz w:val="24"/>
          <w:szCs w:val="24"/>
          <w:lang w:val="en-US"/>
        </w:rPr>
        <w:t>Abstract:</w:t>
      </w:r>
    </w:p>
    <w:p w:rsidR="000C3EC5" w:rsidRPr="00E87F60" w:rsidRDefault="00E87F60" w:rsidP="00E87F60">
      <w:pPr>
        <w:rPr>
          <w:rFonts w:asciiTheme="majorBidi" w:hAnsiTheme="majorBidi" w:cstheme="majorBidi"/>
          <w:sz w:val="24"/>
          <w:szCs w:val="24"/>
          <w:lang w:val="en-US"/>
        </w:rPr>
      </w:pPr>
      <w:r w:rsidRPr="00E87F60">
        <w:rPr>
          <w:rFonts w:asciiTheme="majorBidi" w:hAnsiTheme="majorBidi" w:cstheme="majorBidi"/>
          <w:b/>
          <w:bCs/>
          <w:sz w:val="24"/>
          <w:szCs w:val="24"/>
          <w:lang w:val="en-US"/>
        </w:rPr>
        <w:br/>
      </w:r>
      <w:proofErr w:type="spellStart"/>
      <w:r w:rsidRPr="00E87F60">
        <w:rPr>
          <w:rFonts w:asciiTheme="majorBidi" w:hAnsiTheme="majorBidi" w:cstheme="majorBidi"/>
          <w:sz w:val="24"/>
          <w:szCs w:val="24"/>
          <w:lang w:val="en-US"/>
        </w:rPr>
        <w:t>Rickettsiosis</w:t>
      </w:r>
      <w:proofErr w:type="spellEnd"/>
      <w:r w:rsidRPr="00E87F60">
        <w:rPr>
          <w:rFonts w:asciiTheme="majorBidi" w:hAnsiTheme="majorBidi" w:cstheme="majorBidi"/>
          <w:sz w:val="24"/>
          <w:szCs w:val="24"/>
          <w:lang w:val="en-US"/>
        </w:rPr>
        <w:t xml:space="preserve"> and </w:t>
      </w:r>
      <w:proofErr w:type="spellStart"/>
      <w:r w:rsidRPr="00E87F60">
        <w:rPr>
          <w:rFonts w:asciiTheme="majorBidi" w:hAnsiTheme="majorBidi" w:cstheme="majorBidi"/>
          <w:sz w:val="24"/>
          <w:szCs w:val="24"/>
          <w:lang w:val="en-US"/>
        </w:rPr>
        <w:t>bartonellosis</w:t>
      </w:r>
      <w:proofErr w:type="spellEnd"/>
      <w:r w:rsidRPr="00E87F60">
        <w:rPr>
          <w:rFonts w:asciiTheme="majorBidi" w:hAnsiTheme="majorBidi" w:cstheme="majorBidi"/>
          <w:sz w:val="24"/>
          <w:szCs w:val="24"/>
          <w:lang w:val="en-US"/>
        </w:rPr>
        <w:t xml:space="preserve"> are </w:t>
      </w:r>
      <w:proofErr w:type="spellStart"/>
      <w:r w:rsidRPr="00E87F60">
        <w:rPr>
          <w:rFonts w:asciiTheme="majorBidi" w:hAnsiTheme="majorBidi" w:cstheme="majorBidi"/>
          <w:sz w:val="24"/>
          <w:szCs w:val="24"/>
          <w:lang w:val="en-US"/>
        </w:rPr>
        <w:t>zoonotic</w:t>
      </w:r>
      <w:proofErr w:type="spellEnd"/>
      <w:r w:rsidRPr="00E87F60">
        <w:rPr>
          <w:rFonts w:asciiTheme="majorBidi" w:hAnsiTheme="majorBidi" w:cstheme="majorBidi"/>
          <w:sz w:val="24"/>
          <w:szCs w:val="24"/>
          <w:lang w:val="en-US"/>
        </w:rPr>
        <w:t xml:space="preserve"> and vector-borne diseases, which are increasingly taking a major scale, especially in public health. Their re-emergence in our country is possibly due to the appearance of new animal reservoirs, harboring pathogens. This work contributes to the study of reservoirs of </w:t>
      </w:r>
      <w:proofErr w:type="spellStart"/>
      <w:r w:rsidRPr="00E87F60">
        <w:rPr>
          <w:rFonts w:asciiTheme="majorBidi" w:hAnsiTheme="majorBidi" w:cstheme="majorBidi"/>
          <w:sz w:val="24"/>
          <w:szCs w:val="24"/>
          <w:lang w:val="en-US"/>
        </w:rPr>
        <w:t>Rickettsia</w:t>
      </w:r>
      <w:proofErr w:type="spellEnd"/>
      <w:r w:rsidRPr="00E87F60">
        <w:rPr>
          <w:rFonts w:asciiTheme="majorBidi" w:hAnsiTheme="majorBidi" w:cstheme="majorBidi"/>
          <w:sz w:val="24"/>
          <w:szCs w:val="24"/>
          <w:lang w:val="en-US"/>
        </w:rPr>
        <w:t xml:space="preserve"> spp. and </w:t>
      </w:r>
      <w:proofErr w:type="spellStart"/>
      <w:r w:rsidRPr="00E87F60">
        <w:rPr>
          <w:rFonts w:asciiTheme="majorBidi" w:hAnsiTheme="majorBidi" w:cstheme="majorBidi"/>
          <w:sz w:val="24"/>
          <w:szCs w:val="24"/>
          <w:lang w:val="en-US"/>
        </w:rPr>
        <w:t>Bartonella</w:t>
      </w:r>
      <w:proofErr w:type="spellEnd"/>
      <w:r w:rsidRPr="00E87F60">
        <w:rPr>
          <w:rFonts w:asciiTheme="majorBidi" w:hAnsiTheme="majorBidi" w:cstheme="majorBidi"/>
          <w:sz w:val="24"/>
          <w:szCs w:val="24"/>
          <w:lang w:val="en-US"/>
        </w:rPr>
        <w:t xml:space="preserve"> spp. in the </w:t>
      </w:r>
      <w:proofErr w:type="spellStart"/>
      <w:r w:rsidRPr="00E87F60">
        <w:rPr>
          <w:rFonts w:asciiTheme="majorBidi" w:hAnsiTheme="majorBidi" w:cstheme="majorBidi"/>
          <w:sz w:val="24"/>
          <w:szCs w:val="24"/>
          <w:lang w:val="en-US"/>
        </w:rPr>
        <w:t>wilaya</w:t>
      </w:r>
      <w:proofErr w:type="spellEnd"/>
      <w:r w:rsidRPr="00E87F60">
        <w:rPr>
          <w:rFonts w:asciiTheme="majorBidi" w:hAnsiTheme="majorBidi" w:cstheme="majorBidi"/>
          <w:sz w:val="24"/>
          <w:szCs w:val="24"/>
          <w:lang w:val="en-US"/>
        </w:rPr>
        <w:t xml:space="preserve"> of Algiers. For that, the spleens were collected from stray dogs and cats in pound of El-</w:t>
      </w:r>
      <w:proofErr w:type="spellStart"/>
      <w:r w:rsidRPr="00E87F60">
        <w:rPr>
          <w:rFonts w:asciiTheme="majorBidi" w:hAnsiTheme="majorBidi" w:cstheme="majorBidi"/>
          <w:sz w:val="24"/>
          <w:szCs w:val="24"/>
          <w:lang w:val="en-US"/>
        </w:rPr>
        <w:t>Harrach</w:t>
      </w:r>
      <w:proofErr w:type="spellEnd"/>
      <w:r w:rsidRPr="00E87F60">
        <w:rPr>
          <w:rFonts w:asciiTheme="majorBidi" w:hAnsiTheme="majorBidi" w:cstheme="majorBidi"/>
          <w:sz w:val="24"/>
          <w:szCs w:val="24"/>
          <w:lang w:val="en-US"/>
        </w:rPr>
        <w:t xml:space="preserve"> and then analyzed using Polymerase Chain Reaction (PCR). The standard PCR reveals that 2.86% (1/35) of dogs are infected with </w:t>
      </w:r>
      <w:proofErr w:type="spellStart"/>
      <w:r w:rsidRPr="00E87F60">
        <w:rPr>
          <w:rFonts w:asciiTheme="majorBidi" w:hAnsiTheme="majorBidi" w:cstheme="majorBidi"/>
          <w:sz w:val="24"/>
          <w:szCs w:val="24"/>
          <w:lang w:val="en-US"/>
        </w:rPr>
        <w:t>Rickettsia</w:t>
      </w:r>
      <w:proofErr w:type="spellEnd"/>
      <w:r w:rsidRPr="00E87F60">
        <w:rPr>
          <w:rFonts w:asciiTheme="majorBidi" w:hAnsiTheme="majorBidi" w:cstheme="majorBidi"/>
          <w:sz w:val="24"/>
          <w:szCs w:val="24"/>
          <w:lang w:val="en-US"/>
        </w:rPr>
        <w:t xml:space="preserve"> sp. and 8% (2/25) of cats are positives for </w:t>
      </w:r>
      <w:proofErr w:type="spellStart"/>
      <w:r w:rsidRPr="00E87F60">
        <w:rPr>
          <w:rFonts w:asciiTheme="majorBidi" w:hAnsiTheme="majorBidi" w:cstheme="majorBidi"/>
          <w:sz w:val="24"/>
          <w:szCs w:val="24"/>
          <w:lang w:val="en-US"/>
        </w:rPr>
        <w:t>Bartonella</w:t>
      </w:r>
      <w:proofErr w:type="spellEnd"/>
      <w:r w:rsidRPr="00E87F60">
        <w:rPr>
          <w:rFonts w:asciiTheme="majorBidi" w:hAnsiTheme="majorBidi" w:cstheme="majorBidi"/>
          <w:sz w:val="24"/>
          <w:szCs w:val="24"/>
          <w:lang w:val="en-US"/>
        </w:rPr>
        <w:t xml:space="preserve"> sp. The second molecular analysis by real-time PCR shows that infection rates in dogs are 14.28% (5/35) for </w:t>
      </w:r>
      <w:proofErr w:type="spellStart"/>
      <w:r w:rsidRPr="00E87F60">
        <w:rPr>
          <w:rFonts w:asciiTheme="majorBidi" w:hAnsiTheme="majorBidi" w:cstheme="majorBidi"/>
          <w:sz w:val="24"/>
          <w:szCs w:val="24"/>
          <w:lang w:val="en-US"/>
        </w:rPr>
        <w:t>Rickettsia</w:t>
      </w:r>
      <w:proofErr w:type="spellEnd"/>
      <w:r w:rsidRPr="00E87F60">
        <w:rPr>
          <w:rFonts w:asciiTheme="majorBidi" w:hAnsiTheme="majorBidi" w:cstheme="majorBidi"/>
          <w:sz w:val="24"/>
          <w:szCs w:val="24"/>
          <w:lang w:val="en-US"/>
        </w:rPr>
        <w:t xml:space="preserve"> sp. and 8.57% (3/35) for </w:t>
      </w:r>
      <w:proofErr w:type="spellStart"/>
      <w:r w:rsidRPr="00E87F60">
        <w:rPr>
          <w:rFonts w:asciiTheme="majorBidi" w:hAnsiTheme="majorBidi" w:cstheme="majorBidi"/>
          <w:sz w:val="24"/>
          <w:szCs w:val="24"/>
          <w:lang w:val="en-US"/>
        </w:rPr>
        <w:t>Bartonella</w:t>
      </w:r>
      <w:proofErr w:type="spellEnd"/>
      <w:r w:rsidRPr="00E87F60">
        <w:rPr>
          <w:rFonts w:asciiTheme="majorBidi" w:hAnsiTheme="majorBidi" w:cstheme="majorBidi"/>
          <w:sz w:val="24"/>
          <w:szCs w:val="24"/>
          <w:lang w:val="en-US"/>
        </w:rPr>
        <w:t xml:space="preserve"> sp., while the positivity rates in cats are 20% (5/25) and 8% (2/25) for </w:t>
      </w:r>
      <w:proofErr w:type="spellStart"/>
      <w:r w:rsidRPr="00E87F60">
        <w:rPr>
          <w:rFonts w:asciiTheme="majorBidi" w:hAnsiTheme="majorBidi" w:cstheme="majorBidi"/>
          <w:sz w:val="24"/>
          <w:szCs w:val="24"/>
          <w:lang w:val="en-US"/>
        </w:rPr>
        <w:t>Bartonella</w:t>
      </w:r>
      <w:proofErr w:type="spellEnd"/>
      <w:r w:rsidRPr="00E87F60">
        <w:rPr>
          <w:rFonts w:asciiTheme="majorBidi" w:hAnsiTheme="majorBidi" w:cstheme="majorBidi"/>
          <w:sz w:val="24"/>
          <w:szCs w:val="24"/>
          <w:lang w:val="en-US"/>
        </w:rPr>
        <w:t xml:space="preserve"> sp. and </w:t>
      </w:r>
      <w:proofErr w:type="spellStart"/>
      <w:r w:rsidRPr="00E87F60">
        <w:rPr>
          <w:rFonts w:asciiTheme="majorBidi" w:hAnsiTheme="majorBidi" w:cstheme="majorBidi"/>
          <w:sz w:val="24"/>
          <w:szCs w:val="24"/>
          <w:lang w:val="en-US"/>
        </w:rPr>
        <w:t>Rickettsia</w:t>
      </w:r>
      <w:proofErr w:type="spellEnd"/>
      <w:r w:rsidRPr="00E87F60">
        <w:rPr>
          <w:rFonts w:asciiTheme="majorBidi" w:hAnsiTheme="majorBidi" w:cstheme="majorBidi"/>
          <w:sz w:val="24"/>
          <w:szCs w:val="24"/>
          <w:lang w:val="en-US"/>
        </w:rPr>
        <w:t xml:space="preserve"> sp. respectively. From the epidemiologic perspective, our results suggest that dogs and cats can be considered as sentinel hosts or rather reservoirs of these pathogens and certainly have a role in the persistence of these infections in nature.</w:t>
      </w:r>
    </w:p>
    <w:sectPr w:rsidR="000C3EC5" w:rsidRPr="00E87F60"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7F60"/>
    <w:rsid w:val="000C3EC5"/>
    <w:rsid w:val="00E87F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2019-10-22T12:04:00Z</dcterms:created>
  <dcterms:modified xsi:type="dcterms:W3CDTF">2019-10-22T12:06:00Z</dcterms:modified>
</cp:coreProperties>
</file>