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D7" w:rsidRDefault="000327D7" w:rsidP="000327D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0327D7">
        <w:rPr>
          <w:rFonts w:asciiTheme="majorBidi" w:hAnsiTheme="majorBidi" w:cstheme="majorBidi"/>
          <w:b/>
          <w:bCs/>
          <w:color w:val="000000"/>
          <w:sz w:val="28"/>
          <w:szCs w:val="28"/>
          <w:shd w:val="clear" w:color="auto" w:fill="FFFFFF"/>
        </w:rPr>
        <w:t>Achek</w:t>
      </w:r>
      <w:proofErr w:type="spellEnd"/>
      <w:r w:rsidRPr="000327D7">
        <w:rPr>
          <w:rFonts w:asciiTheme="majorBidi" w:hAnsiTheme="majorBidi" w:cstheme="majorBidi"/>
          <w:b/>
          <w:bCs/>
          <w:color w:val="000000"/>
          <w:sz w:val="28"/>
          <w:szCs w:val="28"/>
          <w:shd w:val="clear" w:color="auto" w:fill="FFFFFF"/>
        </w:rPr>
        <w:t xml:space="preserve"> Rachid</w:t>
      </w:r>
    </w:p>
    <w:p w:rsidR="000327D7" w:rsidRDefault="000327D7" w:rsidP="000327D7">
      <w:pPr>
        <w:jc w:val="center"/>
        <w:rPr>
          <w:rFonts w:asciiTheme="majorBidi" w:hAnsiTheme="majorBidi" w:cstheme="majorBidi"/>
          <w:b/>
          <w:bCs/>
          <w:color w:val="000000"/>
          <w:sz w:val="28"/>
          <w:szCs w:val="28"/>
          <w:shd w:val="clear" w:color="auto" w:fill="FFFFFF"/>
        </w:rPr>
      </w:pPr>
      <w:r w:rsidRPr="000327D7">
        <w:rPr>
          <w:rFonts w:asciiTheme="majorBidi" w:hAnsiTheme="majorBidi" w:cstheme="majorBidi"/>
          <w:b/>
          <w:bCs/>
          <w:color w:val="000000"/>
          <w:sz w:val="28"/>
          <w:szCs w:val="28"/>
          <w:shd w:val="clear" w:color="auto" w:fill="FFFFFF"/>
        </w:rPr>
        <w:t xml:space="preserve">Détection de gènes codant pour des </w:t>
      </w:r>
      <w:proofErr w:type="spellStart"/>
      <w:r w:rsidRPr="000327D7">
        <w:rPr>
          <w:rFonts w:asciiTheme="majorBidi" w:hAnsiTheme="majorBidi" w:cstheme="majorBidi"/>
          <w:b/>
          <w:bCs/>
          <w:color w:val="000000"/>
          <w:sz w:val="28"/>
          <w:szCs w:val="28"/>
          <w:shd w:val="clear" w:color="auto" w:fill="FFFFFF"/>
        </w:rPr>
        <w:t>entérotoxines</w:t>
      </w:r>
      <w:proofErr w:type="spellEnd"/>
      <w:r w:rsidRPr="000327D7">
        <w:rPr>
          <w:rFonts w:asciiTheme="majorBidi" w:hAnsiTheme="majorBidi" w:cstheme="majorBidi"/>
          <w:b/>
          <w:bCs/>
          <w:color w:val="000000"/>
          <w:sz w:val="28"/>
          <w:szCs w:val="28"/>
          <w:shd w:val="clear" w:color="auto" w:fill="FFFFFF"/>
        </w:rPr>
        <w:t xml:space="preserve"> et de la résistance aux antibiotiques chez des staphylocoques isolés de différentes matrices alimentaires </w:t>
      </w:r>
    </w:p>
    <w:p w:rsidR="000327D7" w:rsidRPr="00087C67" w:rsidRDefault="000327D7" w:rsidP="000327D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0327D7" w:rsidRPr="000327D7" w:rsidRDefault="000327D7" w:rsidP="000327D7">
      <w:pPr>
        <w:spacing w:after="0"/>
        <w:rPr>
          <w:rFonts w:asciiTheme="majorBidi" w:hAnsiTheme="majorBidi" w:cstheme="majorBidi"/>
          <w:sz w:val="24"/>
          <w:szCs w:val="24"/>
        </w:rPr>
      </w:pPr>
    </w:p>
    <w:p w:rsidR="000327D7" w:rsidRDefault="000327D7" w:rsidP="000327D7">
      <w:pPr>
        <w:spacing w:after="0"/>
        <w:rPr>
          <w:rFonts w:asciiTheme="majorBidi" w:hAnsiTheme="majorBidi" w:cstheme="majorBidi"/>
          <w:sz w:val="24"/>
          <w:szCs w:val="24"/>
        </w:rPr>
      </w:pPr>
      <w:r w:rsidRPr="000327D7">
        <w:rPr>
          <w:rFonts w:asciiTheme="majorBidi" w:hAnsiTheme="majorBidi" w:cstheme="majorBidi"/>
          <w:b/>
          <w:bCs/>
          <w:sz w:val="24"/>
          <w:szCs w:val="24"/>
        </w:rPr>
        <w:t>Résumé</w:t>
      </w:r>
      <w:r w:rsidRPr="000327D7">
        <w:rPr>
          <w:rFonts w:asciiTheme="majorBidi" w:hAnsiTheme="majorBidi" w:cstheme="majorBidi"/>
          <w:sz w:val="24"/>
          <w:szCs w:val="24"/>
        </w:rPr>
        <w:t xml:space="preserve"> : </w:t>
      </w:r>
    </w:p>
    <w:p w:rsidR="000327D7" w:rsidRDefault="000327D7" w:rsidP="000327D7">
      <w:pPr>
        <w:spacing w:after="0"/>
        <w:rPr>
          <w:rFonts w:asciiTheme="majorBidi" w:hAnsiTheme="majorBidi" w:cstheme="majorBidi"/>
          <w:sz w:val="24"/>
          <w:szCs w:val="24"/>
        </w:rPr>
      </w:pPr>
    </w:p>
    <w:p w:rsidR="000327D7" w:rsidRDefault="000327D7" w:rsidP="000327D7">
      <w:pPr>
        <w:spacing w:after="0"/>
        <w:rPr>
          <w:rFonts w:asciiTheme="majorBidi" w:hAnsiTheme="majorBidi" w:cstheme="majorBidi"/>
          <w:sz w:val="24"/>
          <w:szCs w:val="24"/>
        </w:rPr>
      </w:pPr>
      <w:r w:rsidRPr="000327D7">
        <w:rPr>
          <w:rFonts w:asciiTheme="majorBidi" w:hAnsiTheme="majorBidi" w:cstheme="majorBidi"/>
          <w:sz w:val="24"/>
          <w:szCs w:val="24"/>
        </w:rPr>
        <w:t xml:space="preserve">L’objectif de cette étude est de déterminer l’occurrence des gènes codant diverses toxines chez des isolats de </w:t>
      </w:r>
      <w:proofErr w:type="spellStart"/>
      <w:r w:rsidRPr="000327D7">
        <w:rPr>
          <w:rFonts w:asciiTheme="majorBidi" w:hAnsiTheme="majorBidi" w:cstheme="majorBidi"/>
          <w:sz w:val="24"/>
          <w:szCs w:val="24"/>
        </w:rPr>
        <w:t>Staphylococcus</w:t>
      </w:r>
      <w:proofErr w:type="spellEnd"/>
      <w:r w:rsidRPr="000327D7">
        <w:rPr>
          <w:rFonts w:asciiTheme="majorBidi" w:hAnsiTheme="majorBidi" w:cstheme="majorBidi"/>
          <w:sz w:val="24"/>
          <w:szCs w:val="24"/>
        </w:rPr>
        <w:t>. L’</w:t>
      </w:r>
      <w:proofErr w:type="spellStart"/>
      <w:r w:rsidRPr="000327D7">
        <w:rPr>
          <w:rFonts w:asciiTheme="majorBidi" w:hAnsiTheme="majorBidi" w:cstheme="majorBidi"/>
          <w:sz w:val="24"/>
          <w:szCs w:val="24"/>
        </w:rPr>
        <w:t>antibiorésistance</w:t>
      </w:r>
      <w:proofErr w:type="spellEnd"/>
      <w:r w:rsidRPr="000327D7">
        <w:rPr>
          <w:rFonts w:asciiTheme="majorBidi" w:hAnsiTheme="majorBidi" w:cstheme="majorBidi"/>
          <w:sz w:val="24"/>
          <w:szCs w:val="24"/>
        </w:rPr>
        <w:t xml:space="preserve"> phénotypique avec exploration des supports génétiques de la résistance à certains antibiotiques a été également réalisé. Une Multiplex PCR a été utilisée pour vérifier la présence de 8 gènes codant les </w:t>
      </w:r>
      <w:proofErr w:type="spellStart"/>
      <w:r w:rsidRPr="000327D7">
        <w:rPr>
          <w:rFonts w:asciiTheme="majorBidi" w:hAnsiTheme="majorBidi" w:cstheme="majorBidi"/>
          <w:sz w:val="24"/>
          <w:szCs w:val="24"/>
        </w:rPr>
        <w:t>entérotoxines</w:t>
      </w:r>
      <w:proofErr w:type="spellEnd"/>
      <w:r w:rsidRPr="000327D7">
        <w:rPr>
          <w:rFonts w:asciiTheme="majorBidi" w:hAnsiTheme="majorBidi" w:cstheme="majorBidi"/>
          <w:sz w:val="24"/>
          <w:szCs w:val="24"/>
        </w:rPr>
        <w:t xml:space="preserve"> staphylococciques classiques (SE) (</w:t>
      </w:r>
      <w:proofErr w:type="spellStart"/>
      <w:r w:rsidRPr="000327D7">
        <w:rPr>
          <w:rFonts w:asciiTheme="majorBidi" w:hAnsiTheme="majorBidi" w:cstheme="majorBidi"/>
          <w:sz w:val="24"/>
          <w:szCs w:val="24"/>
        </w:rPr>
        <w:t>sea</w:t>
      </w:r>
      <w:proofErr w:type="spellEnd"/>
      <w:r w:rsidRPr="000327D7">
        <w:rPr>
          <w:rFonts w:asciiTheme="majorBidi" w:hAnsiTheme="majorBidi" w:cstheme="majorBidi"/>
          <w:sz w:val="24"/>
          <w:szCs w:val="24"/>
        </w:rPr>
        <w:t xml:space="preserve"> à </w:t>
      </w:r>
      <w:proofErr w:type="spellStart"/>
      <w:r w:rsidRPr="000327D7">
        <w:rPr>
          <w:rFonts w:asciiTheme="majorBidi" w:hAnsiTheme="majorBidi" w:cstheme="majorBidi"/>
          <w:sz w:val="24"/>
          <w:szCs w:val="24"/>
        </w:rPr>
        <w:t>see</w:t>
      </w:r>
      <w:proofErr w:type="spellEnd"/>
      <w:r w:rsidRPr="000327D7">
        <w:rPr>
          <w:rFonts w:asciiTheme="majorBidi" w:hAnsiTheme="majorBidi" w:cstheme="majorBidi"/>
          <w:sz w:val="24"/>
          <w:szCs w:val="24"/>
        </w:rPr>
        <w:t xml:space="preserve">), les </w:t>
      </w:r>
      <w:proofErr w:type="spellStart"/>
      <w:r w:rsidRPr="000327D7">
        <w:rPr>
          <w:rFonts w:asciiTheme="majorBidi" w:hAnsiTheme="majorBidi" w:cstheme="majorBidi"/>
          <w:sz w:val="24"/>
          <w:szCs w:val="24"/>
        </w:rPr>
        <w:t>exfoliatines</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eta</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etb</w:t>
      </w:r>
      <w:proofErr w:type="spellEnd"/>
      <w:r w:rsidRPr="000327D7">
        <w:rPr>
          <w:rFonts w:asciiTheme="majorBidi" w:hAnsiTheme="majorBidi" w:cstheme="majorBidi"/>
          <w:sz w:val="24"/>
          <w:szCs w:val="24"/>
        </w:rPr>
        <w:t>) et la toxine TSST-1 (</w:t>
      </w:r>
      <w:proofErr w:type="spellStart"/>
      <w:r w:rsidRPr="000327D7">
        <w:rPr>
          <w:rFonts w:asciiTheme="majorBidi" w:hAnsiTheme="majorBidi" w:cstheme="majorBidi"/>
          <w:sz w:val="24"/>
          <w:szCs w:val="24"/>
        </w:rPr>
        <w:t>tst</w:t>
      </w:r>
      <w:proofErr w:type="spellEnd"/>
      <w:r w:rsidRPr="000327D7">
        <w:rPr>
          <w:rFonts w:asciiTheme="majorBidi" w:hAnsiTheme="majorBidi" w:cstheme="majorBidi"/>
          <w:sz w:val="24"/>
          <w:szCs w:val="24"/>
        </w:rPr>
        <w:t xml:space="preserve">). La sensibilité aux antibiotiques des isolats a été réalisée par la méthode de diffusion de disque sur gélose. Une PCR simplex a été utilisée pour détecter les gènes </w:t>
      </w:r>
      <w:proofErr w:type="spellStart"/>
      <w:r w:rsidRPr="000327D7">
        <w:rPr>
          <w:rFonts w:asciiTheme="majorBidi" w:hAnsiTheme="majorBidi" w:cstheme="majorBidi"/>
          <w:sz w:val="24"/>
          <w:szCs w:val="24"/>
        </w:rPr>
        <w:t>mecA</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blaZ</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aacA</w:t>
      </w:r>
      <w:proofErr w:type="spellEnd"/>
      <w:r w:rsidRPr="000327D7">
        <w:rPr>
          <w:rFonts w:asciiTheme="majorBidi" w:hAnsiTheme="majorBidi" w:cstheme="majorBidi"/>
          <w:sz w:val="24"/>
          <w:szCs w:val="24"/>
        </w:rPr>
        <w:t>-</w:t>
      </w:r>
      <w:proofErr w:type="spellStart"/>
      <w:r w:rsidRPr="000327D7">
        <w:rPr>
          <w:rFonts w:asciiTheme="majorBidi" w:hAnsiTheme="majorBidi" w:cstheme="majorBidi"/>
          <w:sz w:val="24"/>
          <w:szCs w:val="24"/>
        </w:rPr>
        <w:t>aphD</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ermA</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ermC</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tetK</w:t>
      </w:r>
      <w:proofErr w:type="spellEnd"/>
      <w:r w:rsidRPr="000327D7">
        <w:rPr>
          <w:rFonts w:asciiTheme="majorBidi" w:hAnsiTheme="majorBidi" w:cstheme="majorBidi"/>
          <w:sz w:val="24"/>
          <w:szCs w:val="24"/>
        </w:rPr>
        <w:t xml:space="preserve"> et </w:t>
      </w:r>
      <w:proofErr w:type="spellStart"/>
      <w:r w:rsidRPr="000327D7">
        <w:rPr>
          <w:rFonts w:asciiTheme="majorBidi" w:hAnsiTheme="majorBidi" w:cstheme="majorBidi"/>
          <w:sz w:val="24"/>
          <w:szCs w:val="24"/>
        </w:rPr>
        <w:t>tetM</w:t>
      </w:r>
      <w:proofErr w:type="spellEnd"/>
      <w:r w:rsidRPr="000327D7">
        <w:rPr>
          <w:rFonts w:asciiTheme="majorBidi" w:hAnsiTheme="majorBidi" w:cstheme="majorBidi"/>
          <w:sz w:val="24"/>
          <w:szCs w:val="24"/>
        </w:rPr>
        <w:t xml:space="preserve"> codant la résistance à certains antibiotiques. Au total 96 isolats de </w:t>
      </w:r>
      <w:proofErr w:type="spellStart"/>
      <w:r w:rsidRPr="000327D7">
        <w:rPr>
          <w:rFonts w:asciiTheme="majorBidi" w:hAnsiTheme="majorBidi" w:cstheme="majorBidi"/>
          <w:sz w:val="24"/>
          <w:szCs w:val="24"/>
        </w:rPr>
        <w:t>Staphylococcus</w:t>
      </w:r>
      <w:proofErr w:type="spellEnd"/>
      <w:r w:rsidRPr="000327D7">
        <w:rPr>
          <w:rFonts w:asciiTheme="majorBidi" w:hAnsiTheme="majorBidi" w:cstheme="majorBidi"/>
          <w:sz w:val="24"/>
          <w:szCs w:val="24"/>
        </w:rPr>
        <w:t xml:space="preserve"> ont été testés, 51 isolats d’origine alimentaire réparties en 24 S. aureus et 27 staphylocoques à </w:t>
      </w:r>
      <w:proofErr w:type="spellStart"/>
      <w:r w:rsidRPr="000327D7">
        <w:rPr>
          <w:rFonts w:asciiTheme="majorBidi" w:hAnsiTheme="majorBidi" w:cstheme="majorBidi"/>
          <w:sz w:val="24"/>
          <w:szCs w:val="24"/>
        </w:rPr>
        <w:t>coagulase</w:t>
      </w:r>
      <w:proofErr w:type="spellEnd"/>
      <w:r w:rsidRPr="000327D7">
        <w:rPr>
          <w:rFonts w:asciiTheme="majorBidi" w:hAnsiTheme="majorBidi" w:cstheme="majorBidi"/>
          <w:sz w:val="24"/>
          <w:szCs w:val="24"/>
        </w:rPr>
        <w:t xml:space="preserve"> négative (SCN). Quarante-cinq isolats de staphylocoques ont été récoltés à partir des prélèvements des infections hospitalières et communautaires dans deux régions d’Algérie (Médéa et Ain </w:t>
      </w:r>
      <w:proofErr w:type="spellStart"/>
      <w:r w:rsidRPr="000327D7">
        <w:rPr>
          <w:rFonts w:asciiTheme="majorBidi" w:hAnsiTheme="majorBidi" w:cstheme="majorBidi"/>
          <w:sz w:val="24"/>
          <w:szCs w:val="24"/>
        </w:rPr>
        <w:t>Defla</w:t>
      </w:r>
      <w:proofErr w:type="spellEnd"/>
      <w:r w:rsidRPr="000327D7">
        <w:rPr>
          <w:rFonts w:asciiTheme="majorBidi" w:hAnsiTheme="majorBidi" w:cstheme="majorBidi"/>
          <w:sz w:val="24"/>
          <w:szCs w:val="24"/>
        </w:rPr>
        <w:t xml:space="preserve">). Nos résultats montrent que 52,94% des isolats alimentaires possédaient au moins un gène codant pour les SE; où S. aureus semble être plus </w:t>
      </w:r>
      <w:proofErr w:type="spellStart"/>
      <w:r w:rsidRPr="000327D7">
        <w:rPr>
          <w:rFonts w:asciiTheme="majorBidi" w:hAnsiTheme="majorBidi" w:cstheme="majorBidi"/>
          <w:sz w:val="24"/>
          <w:szCs w:val="24"/>
        </w:rPr>
        <w:t>entérotoxinogène</w:t>
      </w:r>
      <w:proofErr w:type="spellEnd"/>
      <w:r w:rsidRPr="000327D7">
        <w:rPr>
          <w:rFonts w:asciiTheme="majorBidi" w:hAnsiTheme="majorBidi" w:cstheme="majorBidi"/>
          <w:sz w:val="24"/>
          <w:szCs w:val="24"/>
        </w:rPr>
        <w:t xml:space="preserve"> que SCN (68,18% vs 41,37%) et le gène </w:t>
      </w:r>
      <w:proofErr w:type="spellStart"/>
      <w:r w:rsidRPr="000327D7">
        <w:rPr>
          <w:rFonts w:asciiTheme="majorBidi" w:hAnsiTheme="majorBidi" w:cstheme="majorBidi"/>
          <w:sz w:val="24"/>
          <w:szCs w:val="24"/>
        </w:rPr>
        <w:t>sed</w:t>
      </w:r>
      <w:proofErr w:type="spellEnd"/>
      <w:r w:rsidRPr="000327D7">
        <w:rPr>
          <w:rFonts w:asciiTheme="majorBidi" w:hAnsiTheme="majorBidi" w:cstheme="majorBidi"/>
          <w:sz w:val="24"/>
          <w:szCs w:val="24"/>
        </w:rPr>
        <w:t xml:space="preserve"> (19; 70,37%) était le plus fréquemment détecté. Pour les isolats d’origine clinique, seulement 13%(6) des isolats de S. aureus possédaient au moins un gène codant les SE. Cependant, 55,55% des isolats d’origine clinique (S. aureus ou SCN) portaient le gène </w:t>
      </w:r>
      <w:proofErr w:type="spellStart"/>
      <w:r w:rsidRPr="000327D7">
        <w:rPr>
          <w:rFonts w:asciiTheme="majorBidi" w:hAnsiTheme="majorBidi" w:cstheme="majorBidi"/>
          <w:sz w:val="24"/>
          <w:szCs w:val="24"/>
        </w:rPr>
        <w:t>tst</w:t>
      </w:r>
      <w:proofErr w:type="spellEnd"/>
      <w:r w:rsidRPr="000327D7">
        <w:rPr>
          <w:rFonts w:asciiTheme="majorBidi" w:hAnsiTheme="majorBidi" w:cstheme="majorBidi"/>
          <w:sz w:val="24"/>
          <w:szCs w:val="24"/>
        </w:rPr>
        <w:t xml:space="preserve">. Les résultats de l’étude de la sensibilité aux antibiotiques montrent que tous les isolats de S. aureus d’origine alimentaire étaient résistants à la pénicilline et 45,83% étaient résistantes à la tétracycline. Les taux de résistance des isolats d’origine clinique étaient de 86,7% ; 48,9% et 37,8% pour la pénicilline, la tétracycline et l'érythromycine, respectivement. Les résultats des CMI ont permis de confirmer 8 isolats comme des </w:t>
      </w:r>
      <w:proofErr w:type="spellStart"/>
      <w:r w:rsidRPr="000327D7">
        <w:rPr>
          <w:rFonts w:asciiTheme="majorBidi" w:hAnsiTheme="majorBidi" w:cstheme="majorBidi"/>
          <w:sz w:val="24"/>
          <w:szCs w:val="24"/>
        </w:rPr>
        <w:t>SARMs</w:t>
      </w:r>
      <w:proofErr w:type="spellEnd"/>
      <w:r w:rsidRPr="000327D7">
        <w:rPr>
          <w:rFonts w:asciiTheme="majorBidi" w:hAnsiTheme="majorBidi" w:cstheme="majorBidi"/>
          <w:sz w:val="24"/>
          <w:szCs w:val="24"/>
        </w:rPr>
        <w:t xml:space="preserve"> (un isolat alimentaire et 7 isolats cliniques). La multi-résistance a été observée chez 22%(11/50) et 58,14%(25/43) des isolats alimentaires et cliniques, respectivement. À l'exception du gène </w:t>
      </w:r>
      <w:proofErr w:type="spellStart"/>
      <w:r w:rsidRPr="000327D7">
        <w:rPr>
          <w:rFonts w:asciiTheme="majorBidi" w:hAnsiTheme="majorBidi" w:cstheme="majorBidi"/>
          <w:sz w:val="24"/>
          <w:szCs w:val="24"/>
        </w:rPr>
        <w:t>ermA</w:t>
      </w:r>
      <w:proofErr w:type="spellEnd"/>
      <w:r w:rsidRPr="000327D7">
        <w:rPr>
          <w:rFonts w:asciiTheme="majorBidi" w:hAnsiTheme="majorBidi" w:cstheme="majorBidi"/>
          <w:sz w:val="24"/>
          <w:szCs w:val="24"/>
        </w:rPr>
        <w:t xml:space="preserve">, les gènes </w:t>
      </w:r>
      <w:proofErr w:type="spellStart"/>
      <w:r w:rsidRPr="000327D7">
        <w:rPr>
          <w:rFonts w:asciiTheme="majorBidi" w:hAnsiTheme="majorBidi" w:cstheme="majorBidi"/>
          <w:sz w:val="24"/>
          <w:szCs w:val="24"/>
        </w:rPr>
        <w:t>tetM</w:t>
      </w:r>
      <w:proofErr w:type="spellEnd"/>
      <w:r w:rsidRPr="000327D7">
        <w:rPr>
          <w:rFonts w:asciiTheme="majorBidi" w:hAnsiTheme="majorBidi" w:cstheme="majorBidi"/>
          <w:sz w:val="24"/>
          <w:szCs w:val="24"/>
        </w:rPr>
        <w:t xml:space="preserve">/K, </w:t>
      </w:r>
      <w:proofErr w:type="spellStart"/>
      <w:r w:rsidRPr="000327D7">
        <w:rPr>
          <w:rFonts w:asciiTheme="majorBidi" w:hAnsiTheme="majorBidi" w:cstheme="majorBidi"/>
          <w:sz w:val="24"/>
          <w:szCs w:val="24"/>
        </w:rPr>
        <w:t>blaZ</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aacA</w:t>
      </w:r>
      <w:proofErr w:type="spellEnd"/>
      <w:r w:rsidRPr="000327D7">
        <w:rPr>
          <w:rFonts w:asciiTheme="majorBidi" w:hAnsiTheme="majorBidi" w:cstheme="majorBidi"/>
          <w:sz w:val="24"/>
          <w:szCs w:val="24"/>
        </w:rPr>
        <w:t>-</w:t>
      </w:r>
      <w:proofErr w:type="spellStart"/>
      <w:r w:rsidRPr="000327D7">
        <w:rPr>
          <w:rFonts w:asciiTheme="majorBidi" w:hAnsiTheme="majorBidi" w:cstheme="majorBidi"/>
          <w:sz w:val="24"/>
          <w:szCs w:val="24"/>
        </w:rPr>
        <w:t>aphD</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ermC</w:t>
      </w:r>
      <w:proofErr w:type="spellEnd"/>
      <w:r w:rsidRPr="000327D7">
        <w:rPr>
          <w:rFonts w:asciiTheme="majorBidi" w:hAnsiTheme="majorBidi" w:cstheme="majorBidi"/>
          <w:sz w:val="24"/>
          <w:szCs w:val="24"/>
        </w:rPr>
        <w:t xml:space="preserve"> et </w:t>
      </w:r>
      <w:proofErr w:type="spellStart"/>
      <w:r w:rsidRPr="000327D7">
        <w:rPr>
          <w:rFonts w:asciiTheme="majorBidi" w:hAnsiTheme="majorBidi" w:cstheme="majorBidi"/>
          <w:sz w:val="24"/>
          <w:szCs w:val="24"/>
        </w:rPr>
        <w:t>mecA</w:t>
      </w:r>
      <w:proofErr w:type="spellEnd"/>
      <w:r w:rsidRPr="000327D7">
        <w:rPr>
          <w:rFonts w:asciiTheme="majorBidi" w:hAnsiTheme="majorBidi" w:cstheme="majorBidi"/>
          <w:sz w:val="24"/>
          <w:szCs w:val="24"/>
        </w:rPr>
        <w:t xml:space="preserve"> ont été détectés chez les isolats alimentaires et cliniques avec des taux variables. Cette étude a révélé une fréquence élevée des gènes codant les SE et fourni un aperçu de l'état actuel de la résistance des staphylocoques aux antibiotiques. En perspective, d'autres enquêtes et programmes de surveillance à plus grande échelle devraient être menées</w:t>
      </w:r>
      <w:r w:rsidRPr="000327D7">
        <w:rPr>
          <w:rFonts w:asciiTheme="majorBidi" w:hAnsiTheme="majorBidi" w:cstheme="majorBidi"/>
          <w:sz w:val="24"/>
          <w:szCs w:val="24"/>
        </w:rPr>
        <w:br/>
      </w:r>
      <w:r w:rsidRPr="000327D7">
        <w:rPr>
          <w:rFonts w:asciiTheme="majorBidi" w:hAnsiTheme="majorBidi" w:cstheme="majorBidi"/>
          <w:sz w:val="24"/>
          <w:szCs w:val="24"/>
        </w:rPr>
        <w:br/>
      </w:r>
      <w:r w:rsidRPr="000327D7">
        <w:rPr>
          <w:rFonts w:asciiTheme="majorBidi" w:hAnsiTheme="majorBidi" w:cstheme="majorBidi"/>
          <w:sz w:val="24"/>
          <w:szCs w:val="24"/>
        </w:rPr>
        <w:br/>
      </w:r>
      <w:r w:rsidRPr="000327D7">
        <w:rPr>
          <w:rFonts w:asciiTheme="majorBidi" w:hAnsiTheme="majorBidi" w:cstheme="majorBidi"/>
          <w:sz w:val="24"/>
          <w:szCs w:val="24"/>
        </w:rPr>
        <w:br/>
      </w:r>
    </w:p>
    <w:p w:rsidR="000327D7" w:rsidRDefault="000327D7" w:rsidP="000327D7">
      <w:pPr>
        <w:spacing w:after="0"/>
        <w:rPr>
          <w:rFonts w:asciiTheme="majorBidi" w:hAnsiTheme="majorBidi" w:cstheme="majorBidi"/>
          <w:sz w:val="24"/>
          <w:szCs w:val="24"/>
        </w:rPr>
      </w:pPr>
      <w:r w:rsidRPr="000327D7">
        <w:rPr>
          <w:rFonts w:asciiTheme="majorBidi" w:hAnsiTheme="majorBidi" w:cstheme="majorBidi"/>
          <w:sz w:val="24"/>
          <w:szCs w:val="24"/>
        </w:rPr>
        <w:lastRenderedPageBreak/>
        <w:br/>
      </w:r>
      <w:r w:rsidRPr="000327D7">
        <w:rPr>
          <w:rFonts w:asciiTheme="majorBidi" w:hAnsiTheme="majorBidi" w:cstheme="majorBidi"/>
          <w:b/>
          <w:bCs/>
          <w:sz w:val="24"/>
          <w:szCs w:val="24"/>
        </w:rPr>
        <w:t>Abstract:</w:t>
      </w:r>
    </w:p>
    <w:p w:rsidR="00F61C03" w:rsidRPr="000327D7" w:rsidRDefault="000327D7" w:rsidP="000327D7">
      <w:pPr>
        <w:spacing w:after="0"/>
        <w:rPr>
          <w:rFonts w:asciiTheme="majorBidi" w:hAnsiTheme="majorBidi" w:cstheme="majorBidi"/>
          <w:sz w:val="24"/>
          <w:szCs w:val="24"/>
          <w:lang w:val="en-US"/>
        </w:rPr>
      </w:pPr>
      <w:r w:rsidRPr="000327D7">
        <w:rPr>
          <w:rFonts w:asciiTheme="majorBidi" w:hAnsiTheme="majorBidi" w:cstheme="majorBidi"/>
          <w:sz w:val="24"/>
          <w:szCs w:val="24"/>
        </w:rPr>
        <w:br/>
        <w:t xml:space="preserve">The </w:t>
      </w:r>
      <w:proofErr w:type="spellStart"/>
      <w:r w:rsidRPr="000327D7">
        <w:rPr>
          <w:rFonts w:asciiTheme="majorBidi" w:hAnsiTheme="majorBidi" w:cstheme="majorBidi"/>
          <w:sz w:val="24"/>
          <w:szCs w:val="24"/>
        </w:rPr>
        <w:t>aim</w:t>
      </w:r>
      <w:proofErr w:type="spellEnd"/>
      <w:r w:rsidRPr="000327D7">
        <w:rPr>
          <w:rFonts w:asciiTheme="majorBidi" w:hAnsiTheme="majorBidi" w:cstheme="majorBidi"/>
          <w:sz w:val="24"/>
          <w:szCs w:val="24"/>
        </w:rPr>
        <w:t xml:space="preserve"> of </w:t>
      </w:r>
      <w:proofErr w:type="spellStart"/>
      <w:r w:rsidRPr="000327D7">
        <w:rPr>
          <w:rFonts w:asciiTheme="majorBidi" w:hAnsiTheme="majorBidi" w:cstheme="majorBidi"/>
          <w:sz w:val="24"/>
          <w:szCs w:val="24"/>
        </w:rPr>
        <w:t>this</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study</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was</w:t>
      </w:r>
      <w:proofErr w:type="spellEnd"/>
      <w:r w:rsidRPr="000327D7">
        <w:rPr>
          <w:rFonts w:asciiTheme="majorBidi" w:hAnsiTheme="majorBidi" w:cstheme="majorBidi"/>
          <w:sz w:val="24"/>
          <w:szCs w:val="24"/>
        </w:rPr>
        <w:t xml:space="preserve"> to </w:t>
      </w:r>
      <w:proofErr w:type="spellStart"/>
      <w:r w:rsidRPr="000327D7">
        <w:rPr>
          <w:rFonts w:asciiTheme="majorBidi" w:hAnsiTheme="majorBidi" w:cstheme="majorBidi"/>
          <w:sz w:val="24"/>
          <w:szCs w:val="24"/>
        </w:rPr>
        <w:t>determine</w:t>
      </w:r>
      <w:proofErr w:type="spellEnd"/>
      <w:r w:rsidRPr="000327D7">
        <w:rPr>
          <w:rFonts w:asciiTheme="majorBidi" w:hAnsiTheme="majorBidi" w:cstheme="majorBidi"/>
          <w:sz w:val="24"/>
          <w:szCs w:val="24"/>
        </w:rPr>
        <w:t xml:space="preserve"> the occurrence of </w:t>
      </w:r>
      <w:proofErr w:type="spellStart"/>
      <w:r w:rsidRPr="000327D7">
        <w:rPr>
          <w:rFonts w:asciiTheme="majorBidi" w:hAnsiTheme="majorBidi" w:cstheme="majorBidi"/>
          <w:sz w:val="24"/>
          <w:szCs w:val="24"/>
        </w:rPr>
        <w:t>toxin</w:t>
      </w:r>
      <w:proofErr w:type="spellEnd"/>
      <w:r w:rsidRPr="000327D7">
        <w:rPr>
          <w:rFonts w:asciiTheme="majorBidi" w:hAnsiTheme="majorBidi" w:cstheme="majorBidi"/>
          <w:sz w:val="24"/>
          <w:szCs w:val="24"/>
        </w:rPr>
        <w:t>-</w:t>
      </w:r>
      <w:proofErr w:type="spellStart"/>
      <w:r w:rsidRPr="000327D7">
        <w:rPr>
          <w:rFonts w:asciiTheme="majorBidi" w:hAnsiTheme="majorBidi" w:cstheme="majorBidi"/>
          <w:sz w:val="24"/>
          <w:szCs w:val="24"/>
        </w:rPr>
        <w:t>genes</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carried</w:t>
      </w:r>
      <w:proofErr w:type="spellEnd"/>
      <w:r w:rsidRPr="000327D7">
        <w:rPr>
          <w:rFonts w:asciiTheme="majorBidi" w:hAnsiTheme="majorBidi" w:cstheme="majorBidi"/>
          <w:sz w:val="24"/>
          <w:szCs w:val="24"/>
        </w:rPr>
        <w:t xml:space="preserve"> by </w:t>
      </w:r>
      <w:proofErr w:type="spellStart"/>
      <w:r w:rsidRPr="000327D7">
        <w:rPr>
          <w:rFonts w:asciiTheme="majorBidi" w:hAnsiTheme="majorBidi" w:cstheme="majorBidi"/>
          <w:sz w:val="24"/>
          <w:szCs w:val="24"/>
        </w:rPr>
        <w:t>staphylococci</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isolates</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we</w:t>
      </w:r>
      <w:proofErr w:type="spellEnd"/>
      <w:r w:rsidRPr="000327D7">
        <w:rPr>
          <w:rFonts w:asciiTheme="majorBidi" w:hAnsiTheme="majorBidi" w:cstheme="majorBidi"/>
          <w:sz w:val="24"/>
          <w:szCs w:val="24"/>
        </w:rPr>
        <w:t xml:space="preserve"> have </w:t>
      </w:r>
      <w:proofErr w:type="spellStart"/>
      <w:r w:rsidRPr="000327D7">
        <w:rPr>
          <w:rFonts w:asciiTheme="majorBidi" w:hAnsiTheme="majorBidi" w:cstheme="majorBidi"/>
          <w:sz w:val="24"/>
          <w:szCs w:val="24"/>
        </w:rPr>
        <w:t>also</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evaluated</w:t>
      </w:r>
      <w:proofErr w:type="spellEnd"/>
      <w:r w:rsidRPr="000327D7">
        <w:rPr>
          <w:rFonts w:asciiTheme="majorBidi" w:hAnsiTheme="majorBidi" w:cstheme="majorBidi"/>
          <w:sz w:val="24"/>
          <w:szCs w:val="24"/>
        </w:rPr>
        <w:t xml:space="preserve"> the </w:t>
      </w:r>
      <w:proofErr w:type="spellStart"/>
      <w:r w:rsidRPr="000327D7">
        <w:rPr>
          <w:rFonts w:asciiTheme="majorBidi" w:hAnsiTheme="majorBidi" w:cstheme="majorBidi"/>
          <w:sz w:val="24"/>
          <w:szCs w:val="24"/>
        </w:rPr>
        <w:t>phenotypic</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antimicrobial</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resistance</w:t>
      </w:r>
      <w:proofErr w:type="spellEnd"/>
      <w:r w:rsidRPr="000327D7">
        <w:rPr>
          <w:rFonts w:asciiTheme="majorBidi" w:hAnsiTheme="majorBidi" w:cstheme="majorBidi"/>
          <w:sz w:val="24"/>
          <w:szCs w:val="24"/>
        </w:rPr>
        <w:t xml:space="preserve"> and </w:t>
      </w:r>
      <w:proofErr w:type="spellStart"/>
      <w:r w:rsidRPr="000327D7">
        <w:rPr>
          <w:rFonts w:asciiTheme="majorBidi" w:hAnsiTheme="majorBidi" w:cstheme="majorBidi"/>
          <w:sz w:val="24"/>
          <w:szCs w:val="24"/>
        </w:rPr>
        <w:t>investigate</w:t>
      </w:r>
      <w:proofErr w:type="spellEnd"/>
      <w:r w:rsidRPr="000327D7">
        <w:rPr>
          <w:rFonts w:asciiTheme="majorBidi" w:hAnsiTheme="majorBidi" w:cstheme="majorBidi"/>
          <w:sz w:val="24"/>
          <w:szCs w:val="24"/>
        </w:rPr>
        <w:t xml:space="preserve"> the </w:t>
      </w:r>
      <w:proofErr w:type="spellStart"/>
      <w:r w:rsidRPr="000327D7">
        <w:rPr>
          <w:rFonts w:asciiTheme="majorBidi" w:hAnsiTheme="majorBidi" w:cstheme="majorBidi"/>
          <w:sz w:val="24"/>
          <w:szCs w:val="24"/>
        </w:rPr>
        <w:t>antimicrobial</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resistance</w:t>
      </w:r>
      <w:proofErr w:type="spellEnd"/>
      <w:r w:rsidRPr="000327D7">
        <w:rPr>
          <w:rFonts w:asciiTheme="majorBidi" w:hAnsiTheme="majorBidi" w:cstheme="majorBidi"/>
          <w:sz w:val="24"/>
          <w:szCs w:val="24"/>
        </w:rPr>
        <w:t>-</w:t>
      </w:r>
      <w:proofErr w:type="spellStart"/>
      <w:r w:rsidRPr="000327D7">
        <w:rPr>
          <w:rFonts w:asciiTheme="majorBidi" w:hAnsiTheme="majorBidi" w:cstheme="majorBidi"/>
          <w:sz w:val="24"/>
          <w:szCs w:val="24"/>
        </w:rPr>
        <w:t>associated</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genes</w:t>
      </w:r>
      <w:proofErr w:type="spellEnd"/>
      <w:r w:rsidRPr="000327D7">
        <w:rPr>
          <w:rFonts w:asciiTheme="majorBidi" w:hAnsiTheme="majorBidi" w:cstheme="majorBidi"/>
          <w:sz w:val="24"/>
          <w:szCs w:val="24"/>
        </w:rPr>
        <w:t xml:space="preserve"> </w:t>
      </w:r>
      <w:proofErr w:type="spellStart"/>
      <w:r w:rsidRPr="000327D7">
        <w:rPr>
          <w:rFonts w:asciiTheme="majorBidi" w:hAnsiTheme="majorBidi" w:cstheme="majorBidi"/>
          <w:sz w:val="24"/>
          <w:szCs w:val="24"/>
        </w:rPr>
        <w:t>carriage</w:t>
      </w:r>
      <w:proofErr w:type="spellEnd"/>
      <w:r w:rsidRPr="000327D7">
        <w:rPr>
          <w:rFonts w:asciiTheme="majorBidi" w:hAnsiTheme="majorBidi" w:cstheme="majorBidi"/>
          <w:sz w:val="24"/>
          <w:szCs w:val="24"/>
        </w:rPr>
        <w:t xml:space="preserve"> of the </w:t>
      </w:r>
      <w:proofErr w:type="spellStart"/>
      <w:r w:rsidRPr="000327D7">
        <w:rPr>
          <w:rFonts w:asciiTheme="majorBidi" w:hAnsiTheme="majorBidi" w:cstheme="majorBidi"/>
          <w:sz w:val="24"/>
          <w:szCs w:val="24"/>
        </w:rPr>
        <w:t>isolates</w:t>
      </w:r>
      <w:proofErr w:type="spellEnd"/>
      <w:r w:rsidRPr="000327D7">
        <w:rPr>
          <w:rFonts w:asciiTheme="majorBidi" w:hAnsiTheme="majorBidi" w:cstheme="majorBidi"/>
          <w:sz w:val="24"/>
          <w:szCs w:val="24"/>
        </w:rPr>
        <w:t xml:space="preserve">. </w:t>
      </w:r>
      <w:r w:rsidRPr="000327D7">
        <w:rPr>
          <w:rFonts w:asciiTheme="majorBidi" w:hAnsiTheme="majorBidi" w:cstheme="majorBidi"/>
          <w:sz w:val="24"/>
          <w:szCs w:val="24"/>
          <w:lang w:val="en-US"/>
        </w:rPr>
        <w:t xml:space="preserve">The multiplex PCR assay was used for screening of 8 genes coding for classical </w:t>
      </w:r>
      <w:proofErr w:type="spellStart"/>
      <w:r w:rsidRPr="000327D7">
        <w:rPr>
          <w:rFonts w:asciiTheme="majorBidi" w:hAnsiTheme="majorBidi" w:cstheme="majorBidi"/>
          <w:sz w:val="24"/>
          <w:szCs w:val="24"/>
          <w:lang w:val="en-US"/>
        </w:rPr>
        <w:t>enterotoxins</w:t>
      </w:r>
      <w:proofErr w:type="spellEnd"/>
      <w:r w:rsidRPr="000327D7">
        <w:rPr>
          <w:rFonts w:asciiTheme="majorBidi" w:hAnsiTheme="majorBidi" w:cstheme="majorBidi"/>
          <w:sz w:val="24"/>
          <w:szCs w:val="24"/>
          <w:lang w:val="en-US"/>
        </w:rPr>
        <w:t xml:space="preserve"> (SEs) (sea to see), </w:t>
      </w:r>
      <w:proofErr w:type="spellStart"/>
      <w:r w:rsidRPr="000327D7">
        <w:rPr>
          <w:rFonts w:asciiTheme="majorBidi" w:hAnsiTheme="majorBidi" w:cstheme="majorBidi"/>
          <w:sz w:val="24"/>
          <w:szCs w:val="24"/>
          <w:lang w:val="en-US"/>
        </w:rPr>
        <w:t>exfoliative</w:t>
      </w:r>
      <w:proofErr w:type="spellEnd"/>
      <w:r w:rsidRPr="000327D7">
        <w:rPr>
          <w:rFonts w:asciiTheme="majorBidi" w:hAnsiTheme="majorBidi" w:cstheme="majorBidi"/>
          <w:sz w:val="24"/>
          <w:szCs w:val="24"/>
          <w:lang w:val="en-US"/>
        </w:rPr>
        <w:t xml:space="preserve"> toxins (eta, </w:t>
      </w:r>
      <w:proofErr w:type="spellStart"/>
      <w:r w:rsidRPr="000327D7">
        <w:rPr>
          <w:rFonts w:asciiTheme="majorBidi" w:hAnsiTheme="majorBidi" w:cstheme="majorBidi"/>
          <w:sz w:val="24"/>
          <w:szCs w:val="24"/>
          <w:lang w:val="en-US"/>
        </w:rPr>
        <w:t>etb</w:t>
      </w:r>
      <w:proofErr w:type="spellEnd"/>
      <w:r w:rsidRPr="000327D7">
        <w:rPr>
          <w:rFonts w:asciiTheme="majorBidi" w:hAnsiTheme="majorBidi" w:cstheme="majorBidi"/>
          <w:sz w:val="24"/>
          <w:szCs w:val="24"/>
          <w:lang w:val="en-US"/>
        </w:rPr>
        <w:t>) and toxic shock syndrome toxin-1 (</w:t>
      </w:r>
      <w:proofErr w:type="spellStart"/>
      <w:r w:rsidRPr="000327D7">
        <w:rPr>
          <w:rFonts w:asciiTheme="majorBidi" w:hAnsiTheme="majorBidi" w:cstheme="majorBidi"/>
          <w:sz w:val="24"/>
          <w:szCs w:val="24"/>
          <w:lang w:val="en-US"/>
        </w:rPr>
        <w:t>tst</w:t>
      </w:r>
      <w:proofErr w:type="spellEnd"/>
      <w:r w:rsidRPr="000327D7">
        <w:rPr>
          <w:rFonts w:asciiTheme="majorBidi" w:hAnsiTheme="majorBidi" w:cstheme="majorBidi"/>
          <w:sz w:val="24"/>
          <w:szCs w:val="24"/>
          <w:lang w:val="en-US"/>
        </w:rPr>
        <w:t>). Antimicrobial susceptibility testing was performed using agar disc diffusion method, and the genes coding for antimicrobial resistance (</w:t>
      </w:r>
      <w:proofErr w:type="spellStart"/>
      <w:r w:rsidRPr="000327D7">
        <w:rPr>
          <w:rFonts w:asciiTheme="majorBidi" w:hAnsiTheme="majorBidi" w:cstheme="majorBidi"/>
          <w:sz w:val="24"/>
          <w:szCs w:val="24"/>
          <w:lang w:val="en-US"/>
        </w:rPr>
        <w:t>mecA</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blaZ</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aacA-aphD</w:t>
      </w:r>
      <w:proofErr w:type="spellEnd"/>
      <w:r w:rsidRPr="000327D7">
        <w:rPr>
          <w:rFonts w:asciiTheme="majorBidi" w:hAnsiTheme="majorBidi" w:cstheme="majorBidi"/>
          <w:sz w:val="24"/>
          <w:szCs w:val="24"/>
          <w:lang w:val="en-US"/>
        </w:rPr>
        <w:t xml:space="preserve">, </w:t>
      </w:r>
      <w:proofErr w:type="spellStart"/>
      <w:proofErr w:type="gramStart"/>
      <w:r w:rsidRPr="000327D7">
        <w:rPr>
          <w:rFonts w:asciiTheme="majorBidi" w:hAnsiTheme="majorBidi" w:cstheme="majorBidi"/>
          <w:sz w:val="24"/>
          <w:szCs w:val="24"/>
          <w:lang w:val="en-US"/>
        </w:rPr>
        <w:t>ermA</w:t>
      </w:r>
      <w:proofErr w:type="spellEnd"/>
      <w:proofErr w:type="gram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ermC</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tetK</w:t>
      </w:r>
      <w:proofErr w:type="spellEnd"/>
      <w:r w:rsidRPr="000327D7">
        <w:rPr>
          <w:rFonts w:asciiTheme="majorBidi" w:hAnsiTheme="majorBidi" w:cstheme="majorBidi"/>
          <w:sz w:val="24"/>
          <w:szCs w:val="24"/>
          <w:lang w:val="en-US"/>
        </w:rPr>
        <w:t xml:space="preserve"> and </w:t>
      </w:r>
      <w:proofErr w:type="spellStart"/>
      <w:r w:rsidRPr="000327D7">
        <w:rPr>
          <w:rFonts w:asciiTheme="majorBidi" w:hAnsiTheme="majorBidi" w:cstheme="majorBidi"/>
          <w:sz w:val="24"/>
          <w:szCs w:val="24"/>
          <w:lang w:val="en-US"/>
        </w:rPr>
        <w:t>tetM</w:t>
      </w:r>
      <w:proofErr w:type="spellEnd"/>
      <w:r w:rsidRPr="000327D7">
        <w:rPr>
          <w:rFonts w:asciiTheme="majorBidi" w:hAnsiTheme="majorBidi" w:cstheme="majorBidi"/>
          <w:sz w:val="24"/>
          <w:szCs w:val="24"/>
          <w:lang w:val="en-US"/>
        </w:rPr>
        <w:t xml:space="preserve">) were detected by Simplex PCR. Fifty-one isolates originating food samples allocated into 24 S. </w:t>
      </w:r>
      <w:proofErr w:type="spellStart"/>
      <w:r w:rsidRPr="000327D7">
        <w:rPr>
          <w:rFonts w:asciiTheme="majorBidi" w:hAnsiTheme="majorBidi" w:cstheme="majorBidi"/>
          <w:sz w:val="24"/>
          <w:szCs w:val="24"/>
          <w:lang w:val="en-US"/>
        </w:rPr>
        <w:t>aureus</w:t>
      </w:r>
      <w:proofErr w:type="spellEnd"/>
      <w:r w:rsidRPr="000327D7">
        <w:rPr>
          <w:rFonts w:asciiTheme="majorBidi" w:hAnsiTheme="majorBidi" w:cstheme="majorBidi"/>
          <w:sz w:val="24"/>
          <w:szCs w:val="24"/>
          <w:lang w:val="en-US"/>
        </w:rPr>
        <w:t xml:space="preserve"> and 27 </w:t>
      </w:r>
      <w:proofErr w:type="spellStart"/>
      <w:r w:rsidRPr="000327D7">
        <w:rPr>
          <w:rFonts w:asciiTheme="majorBidi" w:hAnsiTheme="majorBidi" w:cstheme="majorBidi"/>
          <w:sz w:val="24"/>
          <w:szCs w:val="24"/>
          <w:lang w:val="en-US"/>
        </w:rPr>
        <w:t>coagulase</w:t>
      </w:r>
      <w:proofErr w:type="spellEnd"/>
      <w:r w:rsidRPr="000327D7">
        <w:rPr>
          <w:rFonts w:asciiTheme="majorBidi" w:hAnsiTheme="majorBidi" w:cstheme="majorBidi"/>
          <w:sz w:val="24"/>
          <w:szCs w:val="24"/>
          <w:lang w:val="en-US"/>
        </w:rPr>
        <w:t>-negative staphylococci (</w:t>
      </w:r>
      <w:proofErr w:type="spellStart"/>
      <w:r w:rsidRPr="000327D7">
        <w:rPr>
          <w:rFonts w:asciiTheme="majorBidi" w:hAnsiTheme="majorBidi" w:cstheme="majorBidi"/>
          <w:sz w:val="24"/>
          <w:szCs w:val="24"/>
          <w:lang w:val="en-US"/>
        </w:rPr>
        <w:t>CoNS</w:t>
      </w:r>
      <w:proofErr w:type="spellEnd"/>
      <w:r w:rsidRPr="000327D7">
        <w:rPr>
          <w:rFonts w:asciiTheme="majorBidi" w:hAnsiTheme="majorBidi" w:cstheme="majorBidi"/>
          <w:sz w:val="24"/>
          <w:szCs w:val="24"/>
          <w:lang w:val="en-US"/>
        </w:rPr>
        <w:t>). Forty-five staphylococci isolates were collected from samples of hospital and community-acquired infection cases at two distinct provinces in Algeria (</w:t>
      </w:r>
      <w:proofErr w:type="spellStart"/>
      <w:r w:rsidRPr="000327D7">
        <w:rPr>
          <w:rFonts w:asciiTheme="majorBidi" w:hAnsiTheme="majorBidi" w:cstheme="majorBidi"/>
          <w:sz w:val="24"/>
          <w:szCs w:val="24"/>
          <w:lang w:val="en-US"/>
        </w:rPr>
        <w:t>Médéa</w:t>
      </w:r>
      <w:proofErr w:type="spellEnd"/>
      <w:r w:rsidRPr="000327D7">
        <w:rPr>
          <w:rFonts w:asciiTheme="majorBidi" w:hAnsiTheme="majorBidi" w:cstheme="majorBidi"/>
          <w:sz w:val="24"/>
          <w:szCs w:val="24"/>
          <w:lang w:val="en-US"/>
        </w:rPr>
        <w:t xml:space="preserve"> and </w:t>
      </w:r>
      <w:proofErr w:type="spellStart"/>
      <w:r w:rsidRPr="000327D7">
        <w:rPr>
          <w:rFonts w:asciiTheme="majorBidi" w:hAnsiTheme="majorBidi" w:cstheme="majorBidi"/>
          <w:sz w:val="24"/>
          <w:szCs w:val="24"/>
          <w:lang w:val="en-US"/>
        </w:rPr>
        <w:t>Ain</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Defla</w:t>
      </w:r>
      <w:proofErr w:type="spellEnd"/>
      <w:r w:rsidRPr="000327D7">
        <w:rPr>
          <w:rFonts w:asciiTheme="majorBidi" w:hAnsiTheme="majorBidi" w:cstheme="majorBidi"/>
          <w:sz w:val="24"/>
          <w:szCs w:val="24"/>
          <w:lang w:val="en-US"/>
        </w:rPr>
        <w:t>). Our results show that 52</w:t>
      </w:r>
      <w:proofErr w:type="gramStart"/>
      <w:r w:rsidRPr="000327D7">
        <w:rPr>
          <w:rFonts w:asciiTheme="majorBidi" w:hAnsiTheme="majorBidi" w:cstheme="majorBidi"/>
          <w:sz w:val="24"/>
          <w:szCs w:val="24"/>
          <w:lang w:val="en-US"/>
        </w:rPr>
        <w:t>,94</w:t>
      </w:r>
      <w:proofErr w:type="gramEnd"/>
      <w:r w:rsidRPr="000327D7">
        <w:rPr>
          <w:rFonts w:asciiTheme="majorBidi" w:hAnsiTheme="majorBidi" w:cstheme="majorBidi"/>
          <w:sz w:val="24"/>
          <w:szCs w:val="24"/>
          <w:lang w:val="en-US"/>
        </w:rPr>
        <w:t xml:space="preserve">% of food isolates possessed at least one of SEs genes. S. </w:t>
      </w:r>
      <w:proofErr w:type="spellStart"/>
      <w:r w:rsidRPr="000327D7">
        <w:rPr>
          <w:rFonts w:asciiTheme="majorBidi" w:hAnsiTheme="majorBidi" w:cstheme="majorBidi"/>
          <w:sz w:val="24"/>
          <w:szCs w:val="24"/>
          <w:lang w:val="en-US"/>
        </w:rPr>
        <w:t>aureus</w:t>
      </w:r>
      <w:proofErr w:type="spellEnd"/>
      <w:r w:rsidRPr="000327D7">
        <w:rPr>
          <w:rFonts w:asciiTheme="majorBidi" w:hAnsiTheme="majorBidi" w:cstheme="majorBidi"/>
          <w:sz w:val="24"/>
          <w:szCs w:val="24"/>
          <w:lang w:val="en-US"/>
        </w:rPr>
        <w:t xml:space="preserve"> appears to be potentially </w:t>
      </w:r>
      <w:proofErr w:type="spellStart"/>
      <w:r w:rsidRPr="000327D7">
        <w:rPr>
          <w:rFonts w:asciiTheme="majorBidi" w:hAnsiTheme="majorBidi" w:cstheme="majorBidi"/>
          <w:sz w:val="24"/>
          <w:szCs w:val="24"/>
          <w:lang w:val="en-US"/>
        </w:rPr>
        <w:t>enterotoxigenic</w:t>
      </w:r>
      <w:proofErr w:type="spellEnd"/>
      <w:r w:rsidRPr="000327D7">
        <w:rPr>
          <w:rFonts w:asciiTheme="majorBidi" w:hAnsiTheme="majorBidi" w:cstheme="majorBidi"/>
          <w:sz w:val="24"/>
          <w:szCs w:val="24"/>
          <w:lang w:val="en-US"/>
        </w:rPr>
        <w:t xml:space="preserve"> than </w:t>
      </w:r>
      <w:proofErr w:type="spellStart"/>
      <w:r w:rsidRPr="000327D7">
        <w:rPr>
          <w:rFonts w:asciiTheme="majorBidi" w:hAnsiTheme="majorBidi" w:cstheme="majorBidi"/>
          <w:sz w:val="24"/>
          <w:szCs w:val="24"/>
          <w:lang w:val="en-US"/>
        </w:rPr>
        <w:t>CoNS</w:t>
      </w:r>
      <w:proofErr w:type="spellEnd"/>
      <w:r w:rsidRPr="000327D7">
        <w:rPr>
          <w:rFonts w:asciiTheme="majorBidi" w:hAnsiTheme="majorBidi" w:cstheme="majorBidi"/>
          <w:sz w:val="24"/>
          <w:szCs w:val="24"/>
          <w:lang w:val="en-US"/>
        </w:rPr>
        <w:t xml:space="preserve"> (68</w:t>
      </w:r>
      <w:proofErr w:type="gramStart"/>
      <w:r w:rsidRPr="000327D7">
        <w:rPr>
          <w:rFonts w:asciiTheme="majorBidi" w:hAnsiTheme="majorBidi" w:cstheme="majorBidi"/>
          <w:sz w:val="24"/>
          <w:szCs w:val="24"/>
          <w:lang w:val="en-US"/>
        </w:rPr>
        <w:t>,18</w:t>
      </w:r>
      <w:proofErr w:type="gram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vs</w:t>
      </w:r>
      <w:proofErr w:type="spellEnd"/>
      <w:r w:rsidRPr="000327D7">
        <w:rPr>
          <w:rFonts w:asciiTheme="majorBidi" w:hAnsiTheme="majorBidi" w:cstheme="majorBidi"/>
          <w:sz w:val="24"/>
          <w:szCs w:val="24"/>
          <w:lang w:val="en-US"/>
        </w:rPr>
        <w:t xml:space="preserve"> 41,37%) and the </w:t>
      </w:r>
      <w:proofErr w:type="spellStart"/>
      <w:r w:rsidRPr="000327D7">
        <w:rPr>
          <w:rFonts w:asciiTheme="majorBidi" w:hAnsiTheme="majorBidi" w:cstheme="majorBidi"/>
          <w:sz w:val="24"/>
          <w:szCs w:val="24"/>
          <w:lang w:val="en-US"/>
        </w:rPr>
        <w:t>sed</w:t>
      </w:r>
      <w:proofErr w:type="spellEnd"/>
      <w:r w:rsidRPr="000327D7">
        <w:rPr>
          <w:rFonts w:asciiTheme="majorBidi" w:hAnsiTheme="majorBidi" w:cstheme="majorBidi"/>
          <w:sz w:val="24"/>
          <w:szCs w:val="24"/>
          <w:lang w:val="en-US"/>
        </w:rPr>
        <w:t xml:space="preserve"> gene (19;70,37%) was the most frequently detected. In clinical isolates, only </w:t>
      </w:r>
      <w:proofErr w:type="gramStart"/>
      <w:r w:rsidRPr="000327D7">
        <w:rPr>
          <w:rFonts w:asciiTheme="majorBidi" w:hAnsiTheme="majorBidi" w:cstheme="majorBidi"/>
          <w:sz w:val="24"/>
          <w:szCs w:val="24"/>
          <w:lang w:val="en-US"/>
        </w:rPr>
        <w:t>13%</w:t>
      </w:r>
      <w:proofErr w:type="gramEnd"/>
      <w:r w:rsidRPr="000327D7">
        <w:rPr>
          <w:rFonts w:asciiTheme="majorBidi" w:hAnsiTheme="majorBidi" w:cstheme="majorBidi"/>
          <w:sz w:val="24"/>
          <w:szCs w:val="24"/>
          <w:lang w:val="en-US"/>
        </w:rPr>
        <w:t xml:space="preserve">(6) of S. </w:t>
      </w:r>
      <w:proofErr w:type="spellStart"/>
      <w:r w:rsidRPr="000327D7">
        <w:rPr>
          <w:rFonts w:asciiTheme="majorBidi" w:hAnsiTheme="majorBidi" w:cstheme="majorBidi"/>
          <w:sz w:val="24"/>
          <w:szCs w:val="24"/>
          <w:lang w:val="en-US"/>
        </w:rPr>
        <w:t>aureus</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harboured</w:t>
      </w:r>
      <w:proofErr w:type="spellEnd"/>
      <w:r w:rsidRPr="000327D7">
        <w:rPr>
          <w:rFonts w:asciiTheme="majorBidi" w:hAnsiTheme="majorBidi" w:cstheme="majorBidi"/>
          <w:sz w:val="24"/>
          <w:szCs w:val="24"/>
          <w:lang w:val="en-US"/>
        </w:rPr>
        <w:t xml:space="preserve"> at least one SEs genes. However, 55</w:t>
      </w:r>
      <w:proofErr w:type="gramStart"/>
      <w:r w:rsidRPr="000327D7">
        <w:rPr>
          <w:rFonts w:asciiTheme="majorBidi" w:hAnsiTheme="majorBidi" w:cstheme="majorBidi"/>
          <w:sz w:val="24"/>
          <w:szCs w:val="24"/>
          <w:lang w:val="en-US"/>
        </w:rPr>
        <w:t>,55</w:t>
      </w:r>
      <w:proofErr w:type="gramEnd"/>
      <w:r w:rsidRPr="000327D7">
        <w:rPr>
          <w:rFonts w:asciiTheme="majorBidi" w:hAnsiTheme="majorBidi" w:cstheme="majorBidi"/>
          <w:sz w:val="24"/>
          <w:szCs w:val="24"/>
          <w:lang w:val="en-US"/>
        </w:rPr>
        <w:t xml:space="preserve">% of clinical isolates (S. </w:t>
      </w:r>
      <w:proofErr w:type="spellStart"/>
      <w:r w:rsidRPr="000327D7">
        <w:rPr>
          <w:rFonts w:asciiTheme="majorBidi" w:hAnsiTheme="majorBidi" w:cstheme="majorBidi"/>
          <w:sz w:val="24"/>
          <w:szCs w:val="24"/>
          <w:lang w:val="en-US"/>
        </w:rPr>
        <w:t>aureus</w:t>
      </w:r>
      <w:proofErr w:type="spellEnd"/>
      <w:r w:rsidRPr="000327D7">
        <w:rPr>
          <w:rFonts w:asciiTheme="majorBidi" w:hAnsiTheme="majorBidi" w:cstheme="majorBidi"/>
          <w:sz w:val="24"/>
          <w:szCs w:val="24"/>
          <w:lang w:val="en-US"/>
        </w:rPr>
        <w:t xml:space="preserve"> or </w:t>
      </w:r>
      <w:proofErr w:type="spellStart"/>
      <w:r w:rsidRPr="000327D7">
        <w:rPr>
          <w:rFonts w:asciiTheme="majorBidi" w:hAnsiTheme="majorBidi" w:cstheme="majorBidi"/>
          <w:sz w:val="24"/>
          <w:szCs w:val="24"/>
          <w:lang w:val="en-US"/>
        </w:rPr>
        <w:t>CoNS</w:t>
      </w:r>
      <w:proofErr w:type="spellEnd"/>
      <w:r w:rsidRPr="000327D7">
        <w:rPr>
          <w:rFonts w:asciiTheme="majorBidi" w:hAnsiTheme="majorBidi" w:cstheme="majorBidi"/>
          <w:sz w:val="24"/>
          <w:szCs w:val="24"/>
          <w:lang w:val="en-US"/>
        </w:rPr>
        <w:t xml:space="preserve">) possessed the </w:t>
      </w:r>
      <w:proofErr w:type="spellStart"/>
      <w:r w:rsidRPr="000327D7">
        <w:rPr>
          <w:rFonts w:asciiTheme="majorBidi" w:hAnsiTheme="majorBidi" w:cstheme="majorBidi"/>
          <w:sz w:val="24"/>
          <w:szCs w:val="24"/>
          <w:lang w:val="en-US"/>
        </w:rPr>
        <w:t>tst</w:t>
      </w:r>
      <w:proofErr w:type="spellEnd"/>
      <w:r w:rsidRPr="000327D7">
        <w:rPr>
          <w:rFonts w:asciiTheme="majorBidi" w:hAnsiTheme="majorBidi" w:cstheme="majorBidi"/>
          <w:sz w:val="24"/>
          <w:szCs w:val="24"/>
          <w:lang w:val="en-US"/>
        </w:rPr>
        <w:t xml:space="preserve"> gene. All food S. </w:t>
      </w:r>
      <w:proofErr w:type="spellStart"/>
      <w:r w:rsidRPr="000327D7">
        <w:rPr>
          <w:rFonts w:asciiTheme="majorBidi" w:hAnsiTheme="majorBidi" w:cstheme="majorBidi"/>
          <w:sz w:val="24"/>
          <w:szCs w:val="24"/>
          <w:lang w:val="en-US"/>
        </w:rPr>
        <w:t>aureus</w:t>
      </w:r>
      <w:proofErr w:type="spellEnd"/>
      <w:r w:rsidRPr="000327D7">
        <w:rPr>
          <w:rFonts w:asciiTheme="majorBidi" w:hAnsiTheme="majorBidi" w:cstheme="majorBidi"/>
          <w:sz w:val="24"/>
          <w:szCs w:val="24"/>
          <w:lang w:val="en-US"/>
        </w:rPr>
        <w:t xml:space="preserve"> isolates were resistant to penicillin and 45</w:t>
      </w:r>
      <w:proofErr w:type="gramStart"/>
      <w:r w:rsidRPr="000327D7">
        <w:rPr>
          <w:rFonts w:asciiTheme="majorBidi" w:hAnsiTheme="majorBidi" w:cstheme="majorBidi"/>
          <w:sz w:val="24"/>
          <w:szCs w:val="24"/>
          <w:lang w:val="en-US"/>
        </w:rPr>
        <w:t>,83</w:t>
      </w:r>
      <w:proofErr w:type="gramEnd"/>
      <w:r w:rsidRPr="000327D7">
        <w:rPr>
          <w:rFonts w:asciiTheme="majorBidi" w:hAnsiTheme="majorBidi" w:cstheme="majorBidi"/>
          <w:sz w:val="24"/>
          <w:szCs w:val="24"/>
          <w:lang w:val="en-US"/>
        </w:rPr>
        <w:t>% were resistant to tetracycline. The resistance rates of clinical staphylococci isolates were 86</w:t>
      </w:r>
      <w:proofErr w:type="gramStart"/>
      <w:r w:rsidRPr="000327D7">
        <w:rPr>
          <w:rFonts w:asciiTheme="majorBidi" w:hAnsiTheme="majorBidi" w:cstheme="majorBidi"/>
          <w:sz w:val="24"/>
          <w:szCs w:val="24"/>
          <w:lang w:val="en-US"/>
        </w:rPr>
        <w:t>,7</w:t>
      </w:r>
      <w:proofErr w:type="gramEnd"/>
      <w:r w:rsidRPr="000327D7">
        <w:rPr>
          <w:rFonts w:asciiTheme="majorBidi" w:hAnsiTheme="majorBidi" w:cstheme="majorBidi"/>
          <w:sz w:val="24"/>
          <w:szCs w:val="24"/>
          <w:lang w:val="en-US"/>
        </w:rPr>
        <w:t xml:space="preserve">%, 48,9% and 37,8% to penicillin, tetracycline, erythromycin, respectively. Based on MIC values, 8 isolates were confirmed as MRSA (one food isolate and 7 clinical isolates). The multidrug-resistance was observed among </w:t>
      </w:r>
      <w:proofErr w:type="gramStart"/>
      <w:r w:rsidRPr="000327D7">
        <w:rPr>
          <w:rFonts w:asciiTheme="majorBidi" w:hAnsiTheme="majorBidi" w:cstheme="majorBidi"/>
          <w:sz w:val="24"/>
          <w:szCs w:val="24"/>
          <w:lang w:val="en-US"/>
        </w:rPr>
        <w:t>22%</w:t>
      </w:r>
      <w:proofErr w:type="gramEnd"/>
      <w:r w:rsidRPr="000327D7">
        <w:rPr>
          <w:rFonts w:asciiTheme="majorBidi" w:hAnsiTheme="majorBidi" w:cstheme="majorBidi"/>
          <w:sz w:val="24"/>
          <w:szCs w:val="24"/>
          <w:lang w:val="en-US"/>
        </w:rPr>
        <w:t xml:space="preserve">(11/50) and 58,14%(25/43) of food and clinical staphylococci isolates, respectively. Except for </w:t>
      </w:r>
      <w:proofErr w:type="spellStart"/>
      <w:proofErr w:type="gramStart"/>
      <w:r w:rsidRPr="000327D7">
        <w:rPr>
          <w:rFonts w:asciiTheme="majorBidi" w:hAnsiTheme="majorBidi" w:cstheme="majorBidi"/>
          <w:sz w:val="24"/>
          <w:szCs w:val="24"/>
          <w:lang w:val="en-US"/>
        </w:rPr>
        <w:t>ermA</w:t>
      </w:r>
      <w:proofErr w:type="spellEnd"/>
      <w:proofErr w:type="gramEnd"/>
      <w:r w:rsidRPr="000327D7">
        <w:rPr>
          <w:rFonts w:asciiTheme="majorBidi" w:hAnsiTheme="majorBidi" w:cstheme="majorBidi"/>
          <w:sz w:val="24"/>
          <w:szCs w:val="24"/>
          <w:lang w:val="en-US"/>
        </w:rPr>
        <w:t xml:space="preserve"> gene, the </w:t>
      </w:r>
      <w:proofErr w:type="spellStart"/>
      <w:r w:rsidRPr="000327D7">
        <w:rPr>
          <w:rFonts w:asciiTheme="majorBidi" w:hAnsiTheme="majorBidi" w:cstheme="majorBidi"/>
          <w:sz w:val="24"/>
          <w:szCs w:val="24"/>
          <w:lang w:val="en-US"/>
        </w:rPr>
        <w:t>tetM</w:t>
      </w:r>
      <w:proofErr w:type="spellEnd"/>
      <w:r w:rsidRPr="000327D7">
        <w:rPr>
          <w:rFonts w:asciiTheme="majorBidi" w:hAnsiTheme="majorBidi" w:cstheme="majorBidi"/>
          <w:sz w:val="24"/>
          <w:szCs w:val="24"/>
          <w:lang w:val="en-US"/>
        </w:rPr>
        <w:t xml:space="preserve">/K, </w:t>
      </w:r>
      <w:proofErr w:type="spellStart"/>
      <w:r w:rsidRPr="000327D7">
        <w:rPr>
          <w:rFonts w:asciiTheme="majorBidi" w:hAnsiTheme="majorBidi" w:cstheme="majorBidi"/>
          <w:sz w:val="24"/>
          <w:szCs w:val="24"/>
          <w:lang w:val="en-US"/>
        </w:rPr>
        <w:t>blaZ</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aacA-aphD</w:t>
      </w:r>
      <w:proofErr w:type="spellEnd"/>
      <w:r w:rsidRPr="000327D7">
        <w:rPr>
          <w:rFonts w:asciiTheme="majorBidi" w:hAnsiTheme="majorBidi" w:cstheme="majorBidi"/>
          <w:sz w:val="24"/>
          <w:szCs w:val="24"/>
          <w:lang w:val="en-US"/>
        </w:rPr>
        <w:t xml:space="preserve">, </w:t>
      </w:r>
      <w:proofErr w:type="spellStart"/>
      <w:r w:rsidRPr="000327D7">
        <w:rPr>
          <w:rFonts w:asciiTheme="majorBidi" w:hAnsiTheme="majorBidi" w:cstheme="majorBidi"/>
          <w:sz w:val="24"/>
          <w:szCs w:val="24"/>
          <w:lang w:val="en-US"/>
        </w:rPr>
        <w:t>ermC</w:t>
      </w:r>
      <w:proofErr w:type="spellEnd"/>
      <w:r w:rsidRPr="000327D7">
        <w:rPr>
          <w:rFonts w:asciiTheme="majorBidi" w:hAnsiTheme="majorBidi" w:cstheme="majorBidi"/>
          <w:sz w:val="24"/>
          <w:szCs w:val="24"/>
          <w:lang w:val="en-US"/>
        </w:rPr>
        <w:t xml:space="preserve"> and </w:t>
      </w:r>
      <w:proofErr w:type="spellStart"/>
      <w:r w:rsidRPr="000327D7">
        <w:rPr>
          <w:rFonts w:asciiTheme="majorBidi" w:hAnsiTheme="majorBidi" w:cstheme="majorBidi"/>
          <w:sz w:val="24"/>
          <w:szCs w:val="24"/>
          <w:lang w:val="en-US"/>
        </w:rPr>
        <w:t>mecA</w:t>
      </w:r>
      <w:proofErr w:type="spellEnd"/>
      <w:r w:rsidRPr="000327D7">
        <w:rPr>
          <w:rFonts w:asciiTheme="majorBidi" w:hAnsiTheme="majorBidi" w:cstheme="majorBidi"/>
          <w:sz w:val="24"/>
          <w:szCs w:val="24"/>
          <w:lang w:val="en-US"/>
        </w:rPr>
        <w:t xml:space="preserve"> genes were detected in food and clinical isolates with variables rates. This study showed high frequency of SEs genes in food isolates and provided insight the current status of antimicrobial resistance of staphylococci isolated from food and clinical samples in this area. Further studies at a larger scale, and surveillance plans should be set up to assess staphylococcal risk.</w:t>
      </w:r>
    </w:p>
    <w:sectPr w:rsidR="00F61C03" w:rsidRPr="000327D7"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27D7"/>
    <w:rsid w:val="000327D7"/>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4331</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2019-11-27T12:02:00Z</dcterms:created>
  <dcterms:modified xsi:type="dcterms:W3CDTF">2019-11-27T12:05:00Z</dcterms:modified>
</cp:coreProperties>
</file>