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58A" w:rsidRDefault="001B3597" w:rsidP="0090358A">
      <w:pPr>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sous titre : </w:t>
      </w:r>
      <w:r w:rsidR="0090358A" w:rsidRPr="0090358A">
        <w:rPr>
          <w:rFonts w:asciiTheme="majorBidi" w:hAnsiTheme="majorBidi" w:cstheme="majorBidi"/>
          <w:b/>
          <w:bCs/>
          <w:sz w:val="28"/>
          <w:szCs w:val="28"/>
        </w:rPr>
        <w:t>Etude d'antibiorésistance des souches escherichia coli responsable de la colibacillose aviaire</w:t>
      </w:r>
    </w:p>
    <w:p w:rsidR="0090358A" w:rsidRDefault="0090358A" w:rsidP="0090358A">
      <w:pPr>
        <w:rPr>
          <w:rFonts w:asciiTheme="majorBidi" w:hAnsiTheme="majorBidi" w:cstheme="majorBidi"/>
          <w:b/>
          <w:bCs/>
          <w:sz w:val="28"/>
          <w:szCs w:val="28"/>
        </w:rPr>
      </w:pPr>
    </w:p>
    <w:p w:rsidR="0090358A" w:rsidRDefault="0090358A" w:rsidP="0090358A">
      <w:pPr>
        <w:rPr>
          <w:rFonts w:asciiTheme="majorBidi" w:hAnsiTheme="majorBidi" w:cstheme="majorBidi"/>
          <w:b/>
          <w:bCs/>
          <w:sz w:val="24"/>
          <w:szCs w:val="24"/>
        </w:rPr>
      </w:pPr>
      <w:r w:rsidRPr="0090358A">
        <w:rPr>
          <w:rFonts w:asciiTheme="majorBidi" w:hAnsiTheme="majorBidi" w:cstheme="majorBidi"/>
          <w:b/>
          <w:bCs/>
          <w:sz w:val="24"/>
          <w:szCs w:val="24"/>
        </w:rPr>
        <w:t xml:space="preserve">Résumé : </w:t>
      </w:r>
    </w:p>
    <w:p w:rsidR="0090358A" w:rsidRPr="0090358A" w:rsidRDefault="0090358A" w:rsidP="0090358A">
      <w:pPr>
        <w:jc w:val="both"/>
        <w:rPr>
          <w:rFonts w:asciiTheme="majorBidi" w:hAnsiTheme="majorBidi" w:cstheme="majorBidi"/>
          <w:sz w:val="24"/>
          <w:szCs w:val="24"/>
        </w:rPr>
      </w:pPr>
      <w:r w:rsidRPr="0090358A">
        <w:rPr>
          <w:rFonts w:asciiTheme="majorBidi" w:hAnsiTheme="majorBidi" w:cstheme="majorBidi"/>
          <w:sz w:val="24"/>
          <w:szCs w:val="24"/>
        </w:rPr>
        <w:t>La colibacillose est l’une des plus importantes causes de pertes économiques dans le secteur avicole. Elle est d’origine bactérienne, due à Escherichia coli, constitue un des problèmes majeurs chez la volaille et entraine des taux de mortalité considérable. Cette maladie affecte essentiellement les élevages de poulets de chair et constitue aussi l’un des motifs de saisie les plus fréquents à l’abattoir. C’est dans ce contexte que nous avons abordé ce sujet, qui a concerné dans un premier temps l’identification et l’isolement d’</w:t>
      </w:r>
      <w:proofErr w:type="spellStart"/>
      <w:r w:rsidRPr="0090358A">
        <w:rPr>
          <w:rFonts w:asciiTheme="majorBidi" w:hAnsiTheme="majorBidi" w:cstheme="majorBidi"/>
          <w:sz w:val="24"/>
          <w:szCs w:val="24"/>
        </w:rPr>
        <w:t>E.coli</w:t>
      </w:r>
      <w:proofErr w:type="spellEnd"/>
      <w:r w:rsidRPr="0090358A">
        <w:rPr>
          <w:rFonts w:asciiTheme="majorBidi" w:hAnsiTheme="majorBidi" w:cstheme="majorBidi"/>
          <w:sz w:val="24"/>
          <w:szCs w:val="24"/>
        </w:rPr>
        <w:t xml:space="preserve"> chez le poulet de chair présentant des lésions de suspicion de colibacillose et a concerné dans un seconds temps l’étude du profil de résistance des souches isolées aux antibiotiques à l’aide d’un antibiogramme effectué selon la méthode de diffusion de disques sur gélose Muller Hinton. Cette étude, réalisée à partir de 36 prélèvements de foie et de rate, a permis d’isoler et d’identifier 23 souches d’</w:t>
      </w:r>
      <w:proofErr w:type="spellStart"/>
      <w:r w:rsidRPr="0090358A">
        <w:rPr>
          <w:rFonts w:asciiTheme="majorBidi" w:hAnsiTheme="majorBidi" w:cstheme="majorBidi"/>
          <w:sz w:val="24"/>
          <w:szCs w:val="24"/>
        </w:rPr>
        <w:t>E.coli</w:t>
      </w:r>
      <w:proofErr w:type="spellEnd"/>
      <w:r w:rsidRPr="0090358A">
        <w:rPr>
          <w:rFonts w:asciiTheme="majorBidi" w:hAnsiTheme="majorBidi" w:cstheme="majorBidi"/>
          <w:sz w:val="24"/>
          <w:szCs w:val="24"/>
        </w:rPr>
        <w:t xml:space="preserve">, et d’établir chez ces bactéries un profil de sensibilité et de résistance à 12 antibiotiques utilisées en médecine vétérinaire en Algérie. Les résultats montrent un taux de 64% de colibacillose et une résistance des </w:t>
      </w:r>
      <w:proofErr w:type="spellStart"/>
      <w:r w:rsidRPr="0090358A">
        <w:rPr>
          <w:rFonts w:asciiTheme="majorBidi" w:hAnsiTheme="majorBidi" w:cstheme="majorBidi"/>
          <w:sz w:val="24"/>
          <w:szCs w:val="24"/>
        </w:rPr>
        <w:t>E.coli</w:t>
      </w:r>
      <w:proofErr w:type="spellEnd"/>
      <w:r w:rsidRPr="0090358A">
        <w:rPr>
          <w:rFonts w:asciiTheme="majorBidi" w:hAnsiTheme="majorBidi" w:cstheme="majorBidi"/>
          <w:sz w:val="24"/>
          <w:szCs w:val="24"/>
        </w:rPr>
        <w:t xml:space="preserve"> aux antibiotiques multiple et élevée, 100% résistants à l’Ampicilline, l’érythromycine, et </w:t>
      </w:r>
      <w:proofErr w:type="spellStart"/>
      <w:r w:rsidRPr="0090358A">
        <w:rPr>
          <w:rFonts w:asciiTheme="majorBidi" w:hAnsiTheme="majorBidi" w:cstheme="majorBidi"/>
          <w:sz w:val="24"/>
          <w:szCs w:val="24"/>
        </w:rPr>
        <w:t>cephalotine</w:t>
      </w:r>
      <w:proofErr w:type="spellEnd"/>
      <w:r w:rsidRPr="0090358A">
        <w:rPr>
          <w:rFonts w:asciiTheme="majorBidi" w:hAnsiTheme="majorBidi" w:cstheme="majorBidi"/>
          <w:sz w:val="24"/>
          <w:szCs w:val="24"/>
        </w:rPr>
        <w:t xml:space="preserve"> 95,65% pour l’</w:t>
      </w:r>
      <w:proofErr w:type="spellStart"/>
      <w:r w:rsidRPr="0090358A">
        <w:rPr>
          <w:rFonts w:asciiTheme="majorBidi" w:hAnsiTheme="majorBidi" w:cstheme="majorBidi"/>
          <w:sz w:val="24"/>
          <w:szCs w:val="24"/>
        </w:rPr>
        <w:t>Amoxicilline</w:t>
      </w:r>
      <w:proofErr w:type="spellEnd"/>
      <w:r w:rsidRPr="0090358A">
        <w:rPr>
          <w:rFonts w:asciiTheme="majorBidi" w:hAnsiTheme="majorBidi" w:cstheme="majorBidi"/>
          <w:sz w:val="24"/>
          <w:szCs w:val="24"/>
        </w:rPr>
        <w:t xml:space="preserve">, </w:t>
      </w:r>
      <w:proofErr w:type="spellStart"/>
      <w:r w:rsidRPr="0090358A">
        <w:rPr>
          <w:rFonts w:asciiTheme="majorBidi" w:hAnsiTheme="majorBidi" w:cstheme="majorBidi"/>
          <w:sz w:val="24"/>
          <w:szCs w:val="24"/>
        </w:rPr>
        <w:t>Amoxicilline</w:t>
      </w:r>
      <w:proofErr w:type="spellEnd"/>
      <w:r w:rsidRPr="0090358A">
        <w:rPr>
          <w:rFonts w:asciiTheme="majorBidi" w:hAnsiTheme="majorBidi" w:cstheme="majorBidi"/>
          <w:sz w:val="24"/>
          <w:szCs w:val="24"/>
        </w:rPr>
        <w:t xml:space="preserve"> et acide </w:t>
      </w:r>
      <w:proofErr w:type="spellStart"/>
      <w:r w:rsidRPr="0090358A">
        <w:rPr>
          <w:rFonts w:asciiTheme="majorBidi" w:hAnsiTheme="majorBidi" w:cstheme="majorBidi"/>
          <w:sz w:val="24"/>
          <w:szCs w:val="24"/>
        </w:rPr>
        <w:t>clavulanique</w:t>
      </w:r>
      <w:proofErr w:type="spellEnd"/>
      <w:r w:rsidRPr="0090358A">
        <w:rPr>
          <w:rFonts w:asciiTheme="majorBidi" w:hAnsiTheme="majorBidi" w:cstheme="majorBidi"/>
          <w:sz w:val="24"/>
          <w:szCs w:val="24"/>
        </w:rPr>
        <w:t xml:space="preserve">, </w:t>
      </w:r>
      <w:proofErr w:type="spellStart"/>
      <w:r w:rsidRPr="0090358A">
        <w:rPr>
          <w:rFonts w:asciiTheme="majorBidi" w:hAnsiTheme="majorBidi" w:cstheme="majorBidi"/>
          <w:sz w:val="24"/>
          <w:szCs w:val="24"/>
        </w:rPr>
        <w:t>nitrofuranthoide</w:t>
      </w:r>
      <w:proofErr w:type="spellEnd"/>
      <w:r w:rsidRPr="0090358A">
        <w:rPr>
          <w:rFonts w:asciiTheme="majorBidi" w:hAnsiTheme="majorBidi" w:cstheme="majorBidi"/>
          <w:sz w:val="24"/>
          <w:szCs w:val="24"/>
        </w:rPr>
        <w:t xml:space="preserve">, et tétracycline, 82,61% </w:t>
      </w:r>
      <w:proofErr w:type="spellStart"/>
      <w:r w:rsidRPr="0090358A">
        <w:rPr>
          <w:rFonts w:asciiTheme="majorBidi" w:hAnsiTheme="majorBidi" w:cstheme="majorBidi"/>
          <w:sz w:val="24"/>
          <w:szCs w:val="24"/>
        </w:rPr>
        <w:t>Stréptomycine</w:t>
      </w:r>
      <w:proofErr w:type="spellEnd"/>
      <w:r w:rsidRPr="0090358A">
        <w:rPr>
          <w:rFonts w:asciiTheme="majorBidi" w:hAnsiTheme="majorBidi" w:cstheme="majorBidi"/>
          <w:sz w:val="24"/>
          <w:szCs w:val="24"/>
        </w:rPr>
        <w:t xml:space="preserve"> et </w:t>
      </w:r>
      <w:proofErr w:type="spellStart"/>
      <w:r w:rsidRPr="0090358A">
        <w:rPr>
          <w:rFonts w:asciiTheme="majorBidi" w:hAnsiTheme="majorBidi" w:cstheme="majorBidi"/>
          <w:sz w:val="24"/>
          <w:szCs w:val="24"/>
        </w:rPr>
        <w:t>trimethoprimesulfaméthoxazol</w:t>
      </w:r>
      <w:proofErr w:type="spellEnd"/>
      <w:r w:rsidRPr="0090358A">
        <w:rPr>
          <w:rFonts w:asciiTheme="majorBidi" w:hAnsiTheme="majorBidi" w:cstheme="majorBidi"/>
          <w:sz w:val="24"/>
          <w:szCs w:val="24"/>
        </w:rPr>
        <w:t xml:space="preserve">, 69,56% </w:t>
      </w:r>
      <w:proofErr w:type="spellStart"/>
      <w:r w:rsidRPr="0090358A">
        <w:rPr>
          <w:rFonts w:asciiTheme="majorBidi" w:hAnsiTheme="majorBidi" w:cstheme="majorBidi"/>
          <w:sz w:val="24"/>
          <w:szCs w:val="24"/>
        </w:rPr>
        <w:t>neomycine</w:t>
      </w:r>
      <w:proofErr w:type="spellEnd"/>
      <w:r w:rsidRPr="0090358A">
        <w:rPr>
          <w:rFonts w:asciiTheme="majorBidi" w:hAnsiTheme="majorBidi" w:cstheme="majorBidi"/>
          <w:sz w:val="24"/>
          <w:szCs w:val="24"/>
        </w:rPr>
        <w:t xml:space="preserve">, 52,18% </w:t>
      </w:r>
      <w:proofErr w:type="spellStart"/>
      <w:r w:rsidRPr="0090358A">
        <w:rPr>
          <w:rFonts w:asciiTheme="majorBidi" w:hAnsiTheme="majorBidi" w:cstheme="majorBidi"/>
          <w:sz w:val="24"/>
          <w:szCs w:val="24"/>
        </w:rPr>
        <w:t>chlormphénicol</w:t>
      </w:r>
      <w:proofErr w:type="spellEnd"/>
      <w:r w:rsidRPr="0090358A">
        <w:rPr>
          <w:rFonts w:asciiTheme="majorBidi" w:hAnsiTheme="majorBidi" w:cstheme="majorBidi"/>
          <w:sz w:val="24"/>
          <w:szCs w:val="24"/>
        </w:rPr>
        <w:t xml:space="preserve"> 0% colistine. Ces résultats peuvent être expliqués par l'utilisation abusive et anarchique des antibiotiques. En conséquence, les résistances mises en évidence montrent l’utilité d’un examen bactériologique conjoint à la prescription afin de pouvoir adapter le traitement en cas de résistance d’</w:t>
      </w:r>
      <w:proofErr w:type="spellStart"/>
      <w:r w:rsidRPr="0090358A">
        <w:rPr>
          <w:rFonts w:asciiTheme="majorBidi" w:hAnsiTheme="majorBidi" w:cstheme="majorBidi"/>
          <w:sz w:val="24"/>
          <w:szCs w:val="24"/>
        </w:rPr>
        <w:t>E.coli</w:t>
      </w:r>
      <w:proofErr w:type="spellEnd"/>
      <w:r w:rsidRPr="0090358A">
        <w:rPr>
          <w:rFonts w:asciiTheme="majorBidi" w:hAnsiTheme="majorBidi" w:cstheme="majorBidi"/>
          <w:sz w:val="24"/>
          <w:szCs w:val="24"/>
        </w:rPr>
        <w:t xml:space="preserve"> aux antibiotiques choisis.</w:t>
      </w:r>
    </w:p>
    <w:p w:rsidR="0090358A" w:rsidRPr="0090358A" w:rsidRDefault="0090358A" w:rsidP="0090358A">
      <w:pPr>
        <w:jc w:val="both"/>
        <w:rPr>
          <w:rFonts w:asciiTheme="majorBidi" w:hAnsiTheme="majorBidi" w:cstheme="majorBidi"/>
          <w:b/>
          <w:bCs/>
          <w:sz w:val="24"/>
          <w:szCs w:val="24"/>
        </w:rPr>
      </w:pPr>
    </w:p>
    <w:p w:rsidR="0090358A" w:rsidRPr="0090358A" w:rsidRDefault="0090358A" w:rsidP="0090358A">
      <w:pPr>
        <w:jc w:val="both"/>
        <w:rPr>
          <w:rFonts w:asciiTheme="majorBidi" w:hAnsiTheme="majorBidi" w:cstheme="majorBidi"/>
          <w:b/>
          <w:bCs/>
          <w:sz w:val="24"/>
          <w:szCs w:val="24"/>
          <w:lang w:val="en-US"/>
        </w:rPr>
      </w:pPr>
      <w:r w:rsidRPr="0090358A">
        <w:rPr>
          <w:rFonts w:asciiTheme="majorBidi" w:hAnsiTheme="majorBidi" w:cstheme="majorBidi"/>
          <w:b/>
          <w:bCs/>
          <w:sz w:val="24"/>
          <w:szCs w:val="24"/>
          <w:lang w:val="en-US"/>
        </w:rPr>
        <w:t>Abstract:</w:t>
      </w:r>
    </w:p>
    <w:p w:rsidR="0090358A" w:rsidRPr="0090358A" w:rsidRDefault="0090358A" w:rsidP="0090358A">
      <w:pPr>
        <w:jc w:val="both"/>
        <w:rPr>
          <w:rFonts w:asciiTheme="majorBidi" w:hAnsiTheme="majorBidi" w:cstheme="majorBidi"/>
          <w:sz w:val="24"/>
          <w:szCs w:val="24"/>
          <w:lang w:val="en-US"/>
        </w:rPr>
      </w:pPr>
      <w:proofErr w:type="spellStart"/>
      <w:r w:rsidRPr="0090358A">
        <w:rPr>
          <w:rFonts w:asciiTheme="majorBidi" w:hAnsiTheme="majorBidi" w:cstheme="majorBidi"/>
          <w:sz w:val="24"/>
          <w:szCs w:val="24"/>
          <w:lang w:val="en-US"/>
        </w:rPr>
        <w:t>Colibacillosis</w:t>
      </w:r>
      <w:proofErr w:type="spellEnd"/>
      <w:r w:rsidRPr="0090358A">
        <w:rPr>
          <w:rFonts w:asciiTheme="majorBidi" w:hAnsiTheme="majorBidi" w:cstheme="majorBidi"/>
          <w:sz w:val="24"/>
          <w:szCs w:val="24"/>
          <w:lang w:val="en-US"/>
        </w:rPr>
        <w:t xml:space="preserve"> is one of the most important causes of economic losses in the </w:t>
      </w:r>
      <w:proofErr w:type="spellStart"/>
      <w:r w:rsidRPr="0090358A">
        <w:rPr>
          <w:rFonts w:asciiTheme="majorBidi" w:hAnsiTheme="majorBidi" w:cstheme="majorBidi"/>
          <w:sz w:val="24"/>
          <w:szCs w:val="24"/>
          <w:lang w:val="en-US"/>
        </w:rPr>
        <w:t>avicolous</w:t>
      </w:r>
      <w:proofErr w:type="spellEnd"/>
      <w:r w:rsidRPr="0090358A">
        <w:rPr>
          <w:rFonts w:asciiTheme="majorBidi" w:hAnsiTheme="majorBidi" w:cstheme="majorBidi"/>
          <w:sz w:val="24"/>
          <w:szCs w:val="24"/>
          <w:lang w:val="en-US"/>
        </w:rPr>
        <w:t xml:space="preserve"> sector. It is caused by bacteria Escherichia coli, is a major problem in </w:t>
      </w:r>
      <w:proofErr w:type="spellStart"/>
      <w:r w:rsidRPr="0090358A">
        <w:rPr>
          <w:rFonts w:asciiTheme="majorBidi" w:hAnsiTheme="majorBidi" w:cstheme="majorBidi"/>
          <w:sz w:val="24"/>
          <w:szCs w:val="24"/>
          <w:lang w:val="en-US"/>
        </w:rPr>
        <w:t>avicolous</w:t>
      </w:r>
      <w:proofErr w:type="spellEnd"/>
      <w:r w:rsidRPr="0090358A">
        <w:rPr>
          <w:rFonts w:asciiTheme="majorBidi" w:hAnsiTheme="majorBidi" w:cstheme="majorBidi"/>
          <w:sz w:val="24"/>
          <w:szCs w:val="24"/>
          <w:lang w:val="en-US"/>
        </w:rPr>
        <w:t xml:space="preserve"> and causes considerable mortality rates. This disease primarily affects broiler farms and is also one of the reasons most common </w:t>
      </w:r>
      <w:proofErr w:type="gramStart"/>
      <w:r w:rsidRPr="0090358A">
        <w:rPr>
          <w:rFonts w:asciiTheme="majorBidi" w:hAnsiTheme="majorBidi" w:cstheme="majorBidi"/>
          <w:sz w:val="24"/>
          <w:szCs w:val="24"/>
          <w:lang w:val="en-US"/>
        </w:rPr>
        <w:t>entry</w:t>
      </w:r>
      <w:proofErr w:type="gramEnd"/>
      <w:r w:rsidRPr="0090358A">
        <w:rPr>
          <w:rFonts w:asciiTheme="majorBidi" w:hAnsiTheme="majorBidi" w:cstheme="majorBidi"/>
          <w:sz w:val="24"/>
          <w:szCs w:val="24"/>
          <w:lang w:val="en-US"/>
        </w:rPr>
        <w:t xml:space="preserve"> to the slaughterhouse. It is within this context that we have addressed this topic, which initially concerned the identification and isolation of E. </w:t>
      </w:r>
      <w:proofErr w:type="gramStart"/>
      <w:r w:rsidRPr="0090358A">
        <w:rPr>
          <w:rFonts w:asciiTheme="majorBidi" w:hAnsiTheme="majorBidi" w:cstheme="majorBidi"/>
          <w:sz w:val="24"/>
          <w:szCs w:val="24"/>
          <w:lang w:val="en-US"/>
        </w:rPr>
        <w:t>Coli</w:t>
      </w:r>
      <w:proofErr w:type="gramEnd"/>
      <w:r w:rsidRPr="0090358A">
        <w:rPr>
          <w:rFonts w:asciiTheme="majorBidi" w:hAnsiTheme="majorBidi" w:cstheme="majorBidi"/>
          <w:sz w:val="24"/>
          <w:szCs w:val="24"/>
          <w:lang w:val="en-US"/>
        </w:rPr>
        <w:t xml:space="preserve"> in broiler chickens with lesions suspected </w:t>
      </w:r>
      <w:proofErr w:type="spellStart"/>
      <w:r w:rsidRPr="0090358A">
        <w:rPr>
          <w:rFonts w:asciiTheme="majorBidi" w:hAnsiTheme="majorBidi" w:cstheme="majorBidi"/>
          <w:sz w:val="24"/>
          <w:szCs w:val="24"/>
          <w:lang w:val="en-US"/>
        </w:rPr>
        <w:t>colibacillosis</w:t>
      </w:r>
      <w:proofErr w:type="spellEnd"/>
      <w:r w:rsidRPr="0090358A">
        <w:rPr>
          <w:rFonts w:asciiTheme="majorBidi" w:hAnsiTheme="majorBidi" w:cstheme="majorBidi"/>
          <w:sz w:val="24"/>
          <w:szCs w:val="24"/>
          <w:lang w:val="en-US"/>
        </w:rPr>
        <w:t xml:space="preserve"> and involved in a second time studying the resistance profile of isolates to antibiotics using an </w:t>
      </w:r>
      <w:proofErr w:type="spellStart"/>
      <w:r w:rsidRPr="0090358A">
        <w:rPr>
          <w:rFonts w:asciiTheme="majorBidi" w:hAnsiTheme="majorBidi" w:cstheme="majorBidi"/>
          <w:sz w:val="24"/>
          <w:szCs w:val="24"/>
          <w:lang w:val="en-US"/>
        </w:rPr>
        <w:t>antibiogram</w:t>
      </w:r>
      <w:proofErr w:type="spellEnd"/>
      <w:r w:rsidRPr="0090358A">
        <w:rPr>
          <w:rFonts w:asciiTheme="majorBidi" w:hAnsiTheme="majorBidi" w:cstheme="majorBidi"/>
          <w:sz w:val="24"/>
          <w:szCs w:val="24"/>
          <w:lang w:val="en-US"/>
        </w:rPr>
        <w:t xml:space="preserve"> by the method of disc diffusion on Muller Hinton agar. This study, conducted from 36 samples of liver and spleen, was used to isolate and identify 23 strains of E. coli. </w:t>
      </w:r>
      <w:proofErr w:type="gramStart"/>
      <w:r w:rsidRPr="0090358A">
        <w:rPr>
          <w:rFonts w:asciiTheme="majorBidi" w:hAnsiTheme="majorBidi" w:cstheme="majorBidi"/>
          <w:sz w:val="24"/>
          <w:szCs w:val="24"/>
          <w:lang w:val="en-US"/>
        </w:rPr>
        <w:t>And in these bacteria to establish a profile of susceptibility and resistance to 12 antibiotics used veterinary medicine in Algeria.</w:t>
      </w:r>
      <w:proofErr w:type="gramEnd"/>
      <w:r w:rsidRPr="0090358A">
        <w:rPr>
          <w:rFonts w:asciiTheme="majorBidi" w:hAnsiTheme="majorBidi" w:cstheme="majorBidi"/>
          <w:sz w:val="24"/>
          <w:szCs w:val="24"/>
          <w:lang w:val="en-US"/>
        </w:rPr>
        <w:t xml:space="preserve"> The results show a rate of 64% of </w:t>
      </w:r>
      <w:proofErr w:type="spellStart"/>
      <w:r w:rsidRPr="0090358A">
        <w:rPr>
          <w:rFonts w:asciiTheme="majorBidi" w:hAnsiTheme="majorBidi" w:cstheme="majorBidi"/>
          <w:sz w:val="24"/>
          <w:szCs w:val="24"/>
          <w:lang w:val="en-US"/>
        </w:rPr>
        <w:t>colibacillosis</w:t>
      </w:r>
      <w:proofErr w:type="spellEnd"/>
      <w:r w:rsidRPr="0090358A">
        <w:rPr>
          <w:rFonts w:asciiTheme="majorBidi" w:hAnsiTheme="majorBidi" w:cstheme="majorBidi"/>
          <w:sz w:val="24"/>
          <w:szCs w:val="24"/>
          <w:lang w:val="en-US"/>
        </w:rPr>
        <w:t xml:space="preserve"> and resistance of E. coli multiple antibiotic and high, 100% resistant to </w:t>
      </w:r>
      <w:proofErr w:type="spellStart"/>
      <w:r w:rsidRPr="0090358A">
        <w:rPr>
          <w:rFonts w:asciiTheme="majorBidi" w:hAnsiTheme="majorBidi" w:cstheme="majorBidi"/>
          <w:sz w:val="24"/>
          <w:szCs w:val="24"/>
          <w:lang w:val="en-US"/>
        </w:rPr>
        <w:t>ampicillin</w:t>
      </w:r>
      <w:proofErr w:type="spellEnd"/>
      <w:r w:rsidRPr="0090358A">
        <w:rPr>
          <w:rFonts w:asciiTheme="majorBidi" w:hAnsiTheme="majorBidi" w:cstheme="majorBidi"/>
          <w:sz w:val="24"/>
          <w:szCs w:val="24"/>
          <w:lang w:val="en-US"/>
        </w:rPr>
        <w:t xml:space="preserve">, erythromycin, </w:t>
      </w:r>
      <w:proofErr w:type="spellStart"/>
      <w:r w:rsidRPr="0090358A">
        <w:rPr>
          <w:rFonts w:asciiTheme="majorBidi" w:hAnsiTheme="majorBidi" w:cstheme="majorBidi"/>
          <w:sz w:val="24"/>
          <w:szCs w:val="24"/>
          <w:lang w:val="en-US"/>
        </w:rPr>
        <w:t>cephalothin</w:t>
      </w:r>
      <w:proofErr w:type="spellEnd"/>
      <w:r w:rsidRPr="0090358A">
        <w:rPr>
          <w:rFonts w:asciiTheme="majorBidi" w:hAnsiTheme="majorBidi" w:cstheme="majorBidi"/>
          <w:sz w:val="24"/>
          <w:szCs w:val="24"/>
          <w:lang w:val="en-US"/>
        </w:rPr>
        <w:t xml:space="preserve">, and 95.65% for amoxicillin, amoxicillin and </w:t>
      </w:r>
      <w:proofErr w:type="spellStart"/>
      <w:r w:rsidRPr="0090358A">
        <w:rPr>
          <w:rFonts w:asciiTheme="majorBidi" w:hAnsiTheme="majorBidi" w:cstheme="majorBidi"/>
          <w:sz w:val="24"/>
          <w:szCs w:val="24"/>
          <w:lang w:val="en-US"/>
        </w:rPr>
        <w:t>clavulanic</w:t>
      </w:r>
      <w:proofErr w:type="spellEnd"/>
      <w:r w:rsidRPr="0090358A">
        <w:rPr>
          <w:rFonts w:asciiTheme="majorBidi" w:hAnsiTheme="majorBidi" w:cstheme="majorBidi"/>
          <w:sz w:val="24"/>
          <w:szCs w:val="24"/>
          <w:lang w:val="en-US"/>
        </w:rPr>
        <w:t xml:space="preserve"> acid , </w:t>
      </w:r>
      <w:proofErr w:type="spellStart"/>
      <w:r w:rsidRPr="0090358A">
        <w:rPr>
          <w:rFonts w:asciiTheme="majorBidi" w:hAnsiTheme="majorBidi" w:cstheme="majorBidi"/>
          <w:sz w:val="24"/>
          <w:szCs w:val="24"/>
          <w:lang w:val="en-US"/>
        </w:rPr>
        <w:t>nitrofuranthoide</w:t>
      </w:r>
      <w:proofErr w:type="spellEnd"/>
      <w:r w:rsidRPr="0090358A">
        <w:rPr>
          <w:rFonts w:asciiTheme="majorBidi" w:hAnsiTheme="majorBidi" w:cstheme="majorBidi"/>
          <w:sz w:val="24"/>
          <w:szCs w:val="24"/>
          <w:lang w:val="en-US"/>
        </w:rPr>
        <w:t xml:space="preserve">, and tetracycline, streptomycin </w:t>
      </w:r>
      <w:r w:rsidRPr="0090358A">
        <w:rPr>
          <w:rFonts w:asciiTheme="majorBidi" w:hAnsiTheme="majorBidi" w:cstheme="majorBidi"/>
          <w:sz w:val="24"/>
          <w:szCs w:val="24"/>
          <w:lang w:val="en-US"/>
        </w:rPr>
        <w:lastRenderedPageBreak/>
        <w:t xml:space="preserve">and </w:t>
      </w:r>
      <w:proofErr w:type="spellStart"/>
      <w:r w:rsidRPr="0090358A">
        <w:rPr>
          <w:rFonts w:asciiTheme="majorBidi" w:hAnsiTheme="majorBidi" w:cstheme="majorBidi"/>
          <w:sz w:val="24"/>
          <w:szCs w:val="24"/>
          <w:lang w:val="en-US"/>
        </w:rPr>
        <w:t>trimethoprimesulfaméthoxazol</w:t>
      </w:r>
      <w:proofErr w:type="spellEnd"/>
      <w:r w:rsidRPr="0090358A">
        <w:rPr>
          <w:rFonts w:asciiTheme="majorBidi" w:hAnsiTheme="majorBidi" w:cstheme="majorBidi"/>
          <w:sz w:val="24"/>
          <w:szCs w:val="24"/>
          <w:lang w:val="en-US"/>
        </w:rPr>
        <w:t xml:space="preserve"> 82.61%, 69.56% neomycin, 52.18% 0% </w:t>
      </w:r>
      <w:proofErr w:type="spellStart"/>
      <w:r w:rsidRPr="0090358A">
        <w:rPr>
          <w:rFonts w:asciiTheme="majorBidi" w:hAnsiTheme="majorBidi" w:cstheme="majorBidi"/>
          <w:sz w:val="24"/>
          <w:szCs w:val="24"/>
          <w:lang w:val="en-US"/>
        </w:rPr>
        <w:t>chlormphénicol</w:t>
      </w:r>
      <w:proofErr w:type="spellEnd"/>
      <w:r w:rsidRPr="0090358A">
        <w:rPr>
          <w:rFonts w:asciiTheme="majorBidi" w:hAnsiTheme="majorBidi" w:cstheme="majorBidi"/>
          <w:sz w:val="24"/>
          <w:szCs w:val="24"/>
          <w:lang w:val="en-US"/>
        </w:rPr>
        <w:t xml:space="preserve"> </w:t>
      </w:r>
      <w:proofErr w:type="spellStart"/>
      <w:r w:rsidRPr="0090358A">
        <w:rPr>
          <w:rFonts w:asciiTheme="majorBidi" w:hAnsiTheme="majorBidi" w:cstheme="majorBidi"/>
          <w:sz w:val="24"/>
          <w:szCs w:val="24"/>
          <w:lang w:val="en-US"/>
        </w:rPr>
        <w:t>colistin</w:t>
      </w:r>
      <w:proofErr w:type="spellEnd"/>
      <w:r w:rsidRPr="0090358A">
        <w:rPr>
          <w:rFonts w:asciiTheme="majorBidi" w:hAnsiTheme="majorBidi" w:cstheme="majorBidi"/>
          <w:sz w:val="24"/>
          <w:szCs w:val="24"/>
          <w:lang w:val="en-US"/>
        </w:rPr>
        <w:t xml:space="preserve">. These results can be explained by the misuse of antibiotics and anarchic. Therefore, the resistances show highlighted the usefulness of a bacteriological examination spouse prescription in order to tailor treatment in case of resistance to E. </w:t>
      </w:r>
      <w:proofErr w:type="gramStart"/>
      <w:r w:rsidRPr="0090358A">
        <w:rPr>
          <w:rFonts w:asciiTheme="majorBidi" w:hAnsiTheme="majorBidi" w:cstheme="majorBidi"/>
          <w:sz w:val="24"/>
          <w:szCs w:val="24"/>
          <w:lang w:val="en-US"/>
        </w:rPr>
        <w:t>Coli</w:t>
      </w:r>
      <w:proofErr w:type="gramEnd"/>
      <w:r w:rsidRPr="0090358A">
        <w:rPr>
          <w:rFonts w:asciiTheme="majorBidi" w:hAnsiTheme="majorBidi" w:cstheme="majorBidi"/>
          <w:sz w:val="24"/>
          <w:szCs w:val="24"/>
          <w:lang w:val="en-US"/>
        </w:rPr>
        <w:t xml:space="preserve"> antibiotic chosen.</w:t>
      </w:r>
    </w:p>
    <w:p w:rsidR="00014BDB" w:rsidRPr="00427213" w:rsidRDefault="00DE484A" w:rsidP="0090358A">
      <w:pPr>
        <w:rPr>
          <w:rFonts w:asciiTheme="majorBidi" w:hAnsiTheme="majorBidi" w:cstheme="majorBidi"/>
          <w:sz w:val="24"/>
          <w:szCs w:val="24"/>
          <w:lang w:val="en-US"/>
        </w:rPr>
      </w:pPr>
    </w:p>
    <w:sectPr w:rsidR="00014BDB" w:rsidRPr="00427213" w:rsidSect="00B42C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956A23"/>
    <w:rsid w:val="0001209A"/>
    <w:rsid w:val="0010076C"/>
    <w:rsid w:val="001B3597"/>
    <w:rsid w:val="00392867"/>
    <w:rsid w:val="00423F84"/>
    <w:rsid w:val="00427213"/>
    <w:rsid w:val="00667834"/>
    <w:rsid w:val="007364C3"/>
    <w:rsid w:val="0090358A"/>
    <w:rsid w:val="00956A23"/>
    <w:rsid w:val="00A42AFB"/>
    <w:rsid w:val="00A4691D"/>
    <w:rsid w:val="00AC3907"/>
    <w:rsid w:val="00B25228"/>
    <w:rsid w:val="00B42C4D"/>
    <w:rsid w:val="00B72765"/>
    <w:rsid w:val="00DE484A"/>
    <w:rsid w:val="00EA1340"/>
    <w:rsid w:val="00FB05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540</Words>
  <Characters>2970</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17</cp:revision>
  <dcterms:created xsi:type="dcterms:W3CDTF">2019-12-10T12:38:00Z</dcterms:created>
  <dcterms:modified xsi:type="dcterms:W3CDTF">2019-12-10T13:22:00Z</dcterms:modified>
</cp:coreProperties>
</file>