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E9" w:rsidRDefault="001B3597" w:rsidP="009B4EA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B4EA7" w:rsidRPr="009B4EA7">
        <w:rPr>
          <w:rFonts w:asciiTheme="majorBidi" w:hAnsiTheme="majorBidi" w:cstheme="majorBidi"/>
          <w:b/>
          <w:bCs/>
          <w:sz w:val="28"/>
          <w:szCs w:val="28"/>
        </w:rPr>
        <w:t xml:space="preserve">Étude de la séroprévalence de l'infection à </w:t>
      </w:r>
      <w:proofErr w:type="spellStart"/>
      <w:r w:rsidR="009B4EA7" w:rsidRPr="009B4EA7">
        <w:rPr>
          <w:rFonts w:asciiTheme="majorBidi" w:hAnsiTheme="majorBidi" w:cstheme="majorBidi"/>
          <w:b/>
          <w:bCs/>
          <w:sz w:val="28"/>
          <w:szCs w:val="28"/>
        </w:rPr>
        <w:t>bartonella</w:t>
      </w:r>
      <w:proofErr w:type="spellEnd"/>
      <w:r w:rsidR="009B4EA7" w:rsidRPr="009B4EA7">
        <w:rPr>
          <w:rFonts w:asciiTheme="majorBidi" w:hAnsiTheme="majorBidi" w:cstheme="majorBidi"/>
          <w:b/>
          <w:bCs/>
          <w:sz w:val="28"/>
          <w:szCs w:val="28"/>
        </w:rPr>
        <w:t xml:space="preserve"> </w:t>
      </w:r>
      <w:proofErr w:type="spellStart"/>
      <w:r w:rsidR="009B4EA7" w:rsidRPr="009B4EA7">
        <w:rPr>
          <w:rFonts w:asciiTheme="majorBidi" w:hAnsiTheme="majorBidi" w:cstheme="majorBidi"/>
          <w:b/>
          <w:bCs/>
          <w:sz w:val="28"/>
          <w:szCs w:val="28"/>
        </w:rPr>
        <w:t>bovis</w:t>
      </w:r>
      <w:proofErr w:type="spellEnd"/>
      <w:r w:rsidR="009B4EA7" w:rsidRPr="009B4EA7">
        <w:rPr>
          <w:rFonts w:asciiTheme="majorBidi" w:hAnsiTheme="majorBidi" w:cstheme="majorBidi"/>
          <w:b/>
          <w:bCs/>
          <w:sz w:val="28"/>
          <w:szCs w:val="28"/>
        </w:rPr>
        <w:t xml:space="preserve"> chez des bovins séropositifs à la brucellose dans la région d'Alger</w:t>
      </w:r>
    </w:p>
    <w:p w:rsidR="00AE46E9" w:rsidRDefault="00AE46E9" w:rsidP="00AE46E9">
      <w:pPr>
        <w:jc w:val="both"/>
        <w:rPr>
          <w:rFonts w:asciiTheme="majorBidi" w:hAnsiTheme="majorBidi" w:cstheme="majorBidi"/>
          <w:b/>
          <w:bCs/>
          <w:sz w:val="28"/>
          <w:szCs w:val="28"/>
        </w:rPr>
      </w:pPr>
    </w:p>
    <w:p w:rsidR="0090358A" w:rsidRDefault="0090358A" w:rsidP="00AE46E9">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C82BBE" w:rsidRDefault="00C82BBE" w:rsidP="00C82BBE">
      <w:pPr>
        <w:jc w:val="both"/>
        <w:rPr>
          <w:rFonts w:asciiTheme="majorBidi" w:hAnsiTheme="majorBidi" w:cstheme="majorBidi"/>
          <w:sz w:val="24"/>
          <w:szCs w:val="24"/>
        </w:rPr>
      </w:pPr>
      <w:r w:rsidRPr="00C82BBE">
        <w:rPr>
          <w:rFonts w:asciiTheme="majorBidi" w:hAnsiTheme="majorBidi" w:cstheme="majorBidi"/>
          <w:sz w:val="24"/>
          <w:szCs w:val="24"/>
        </w:rPr>
        <w:t xml:space="preserve">Les bactéries du genre </w:t>
      </w:r>
      <w:proofErr w:type="spellStart"/>
      <w:r w:rsidRPr="00C82BBE">
        <w:rPr>
          <w:rFonts w:asciiTheme="majorBidi" w:hAnsiTheme="majorBidi" w:cstheme="majorBidi"/>
          <w:sz w:val="24"/>
          <w:szCs w:val="24"/>
        </w:rPr>
        <w:t>Bartonella</w:t>
      </w:r>
      <w:proofErr w:type="spellEnd"/>
      <w:r w:rsidRPr="00C82BBE">
        <w:rPr>
          <w:rFonts w:asciiTheme="majorBidi" w:hAnsiTheme="majorBidi" w:cstheme="majorBidi"/>
          <w:sz w:val="24"/>
          <w:szCs w:val="24"/>
        </w:rPr>
        <w:t xml:space="preserve"> appartiennent au groupe alpha des </w:t>
      </w:r>
      <w:proofErr w:type="spellStart"/>
      <w:r w:rsidRPr="00C82BBE">
        <w:rPr>
          <w:rFonts w:asciiTheme="majorBidi" w:hAnsiTheme="majorBidi" w:cstheme="majorBidi"/>
          <w:sz w:val="24"/>
          <w:szCs w:val="24"/>
        </w:rPr>
        <w:t>Proteobacteria</w:t>
      </w:r>
      <w:proofErr w:type="spellEnd"/>
      <w:r w:rsidRPr="00C82BBE">
        <w:rPr>
          <w:rFonts w:asciiTheme="majorBidi" w:hAnsiTheme="majorBidi" w:cstheme="majorBidi"/>
          <w:sz w:val="24"/>
          <w:szCs w:val="24"/>
        </w:rPr>
        <w:t xml:space="preserve"> (sous-groupe a2) et maintenant à la famille des </w:t>
      </w:r>
      <w:proofErr w:type="spellStart"/>
      <w:r w:rsidRPr="00C82BBE">
        <w:rPr>
          <w:rFonts w:asciiTheme="majorBidi" w:hAnsiTheme="majorBidi" w:cstheme="majorBidi"/>
          <w:sz w:val="24"/>
          <w:szCs w:val="24"/>
        </w:rPr>
        <w:t>Rhizobiaceae</w:t>
      </w:r>
      <w:proofErr w:type="spellEnd"/>
      <w:r w:rsidRPr="00C82BBE">
        <w:rPr>
          <w:rFonts w:asciiTheme="majorBidi" w:hAnsiTheme="majorBidi" w:cstheme="majorBidi"/>
          <w:sz w:val="24"/>
          <w:szCs w:val="24"/>
        </w:rPr>
        <w:t xml:space="preserve">. Les espèces bactériennes, </w:t>
      </w:r>
      <w:proofErr w:type="spellStart"/>
      <w:r w:rsidRPr="00C82BBE">
        <w:rPr>
          <w:rFonts w:asciiTheme="majorBidi" w:hAnsiTheme="majorBidi" w:cstheme="majorBidi"/>
          <w:sz w:val="24"/>
          <w:szCs w:val="24"/>
        </w:rPr>
        <w:t>phylogéniquement</w:t>
      </w:r>
      <w:proofErr w:type="spellEnd"/>
      <w:r w:rsidRPr="00C82BBE">
        <w:rPr>
          <w:rFonts w:asciiTheme="majorBidi" w:hAnsiTheme="majorBidi" w:cstheme="majorBidi"/>
          <w:sz w:val="24"/>
          <w:szCs w:val="24"/>
        </w:rPr>
        <w:t xml:space="preserve"> les plus proches, sont les Brucella. Ces deux genres bactériens sont considérés comme majeurs en médecine vétérinaire, d'une part en tant que germes pathogènes reconnus pour les bovins et d'autre part parce que les bovins sont considérés comme des réservoirs ou comme des sentinelles de ces agents zoonotiques. De plus, il semblerait que </w:t>
      </w:r>
      <w:proofErr w:type="spellStart"/>
      <w:r w:rsidRPr="00C82BBE">
        <w:rPr>
          <w:rFonts w:asciiTheme="majorBidi" w:hAnsiTheme="majorBidi" w:cstheme="majorBidi"/>
          <w:sz w:val="24"/>
          <w:szCs w:val="24"/>
        </w:rPr>
        <w:t>Bartonella</w:t>
      </w:r>
      <w:proofErr w:type="spellEnd"/>
      <w:r w:rsidRPr="00C82BBE">
        <w:rPr>
          <w:rFonts w:asciiTheme="majorBidi" w:hAnsiTheme="majorBidi" w:cstheme="majorBidi"/>
          <w:sz w:val="24"/>
          <w:szCs w:val="24"/>
        </w:rPr>
        <w:t xml:space="preserve"> </w:t>
      </w:r>
      <w:proofErr w:type="spellStart"/>
      <w:r w:rsidRPr="00C82BBE">
        <w:rPr>
          <w:rFonts w:asciiTheme="majorBidi" w:hAnsiTheme="majorBidi" w:cstheme="majorBidi"/>
          <w:sz w:val="24"/>
          <w:szCs w:val="24"/>
        </w:rPr>
        <w:t>spp</w:t>
      </w:r>
      <w:proofErr w:type="spellEnd"/>
      <w:r w:rsidRPr="00C82BBE">
        <w:rPr>
          <w:rFonts w:asciiTheme="majorBidi" w:hAnsiTheme="majorBidi" w:cstheme="majorBidi"/>
          <w:sz w:val="24"/>
          <w:szCs w:val="24"/>
        </w:rPr>
        <w:t xml:space="preserve">. </w:t>
      </w:r>
      <w:proofErr w:type="gramStart"/>
      <w:r w:rsidRPr="00C82BBE">
        <w:rPr>
          <w:rFonts w:asciiTheme="majorBidi" w:hAnsiTheme="majorBidi" w:cstheme="majorBidi"/>
          <w:sz w:val="24"/>
          <w:szCs w:val="24"/>
        </w:rPr>
        <w:t>et</w:t>
      </w:r>
      <w:proofErr w:type="gramEnd"/>
      <w:r w:rsidRPr="00C82BBE">
        <w:rPr>
          <w:rFonts w:asciiTheme="majorBidi" w:hAnsiTheme="majorBidi" w:cstheme="majorBidi"/>
          <w:sz w:val="24"/>
          <w:szCs w:val="24"/>
        </w:rPr>
        <w:t xml:space="preserve"> Brucella </w:t>
      </w:r>
      <w:proofErr w:type="spellStart"/>
      <w:r w:rsidRPr="00C82BBE">
        <w:rPr>
          <w:rFonts w:asciiTheme="majorBidi" w:hAnsiTheme="majorBidi" w:cstheme="majorBidi"/>
          <w:sz w:val="24"/>
          <w:szCs w:val="24"/>
        </w:rPr>
        <w:t>spp</w:t>
      </w:r>
      <w:proofErr w:type="spellEnd"/>
      <w:r w:rsidRPr="00C82BBE">
        <w:rPr>
          <w:rFonts w:asciiTheme="majorBidi" w:hAnsiTheme="majorBidi" w:cstheme="majorBidi"/>
          <w:sz w:val="24"/>
          <w:szCs w:val="24"/>
        </w:rPr>
        <w:t xml:space="preserve">. </w:t>
      </w:r>
      <w:proofErr w:type="gramStart"/>
      <w:r w:rsidRPr="00C82BBE">
        <w:rPr>
          <w:rFonts w:asciiTheme="majorBidi" w:hAnsiTheme="majorBidi" w:cstheme="majorBidi"/>
          <w:sz w:val="24"/>
          <w:szCs w:val="24"/>
        </w:rPr>
        <w:t>présentent</w:t>
      </w:r>
      <w:proofErr w:type="gramEnd"/>
      <w:r w:rsidRPr="00C82BBE">
        <w:rPr>
          <w:rFonts w:asciiTheme="majorBidi" w:hAnsiTheme="majorBidi" w:cstheme="majorBidi"/>
          <w:sz w:val="24"/>
          <w:szCs w:val="24"/>
        </w:rPr>
        <w:t xml:space="preserve"> des stratégies d'attaque remarquablement proches. Ce qui nous a poussés à émettre l'hypothèse d'une éventuelle association de l'infection par ces deux bactéries. Afin de confirmer ou d'infirmer notre hypothèse, nous avons réalisé une enquête </w:t>
      </w:r>
      <w:proofErr w:type="spellStart"/>
      <w:r w:rsidRPr="00C82BBE">
        <w:rPr>
          <w:rFonts w:asciiTheme="majorBidi" w:hAnsiTheme="majorBidi" w:cstheme="majorBidi"/>
          <w:sz w:val="24"/>
          <w:szCs w:val="24"/>
        </w:rPr>
        <w:t>séroépidémiologique</w:t>
      </w:r>
      <w:proofErr w:type="spellEnd"/>
      <w:r w:rsidRPr="00C82BBE">
        <w:rPr>
          <w:rFonts w:asciiTheme="majorBidi" w:hAnsiTheme="majorBidi" w:cstheme="majorBidi"/>
          <w:sz w:val="24"/>
          <w:szCs w:val="24"/>
        </w:rPr>
        <w:t xml:space="preserve"> dans la région d'Alger. Un total de 40 sérums contrôlés séropositifs à la brucellose ont été analysés pour la recherche d'anticorps anti </w:t>
      </w:r>
      <w:proofErr w:type="spellStart"/>
      <w:r w:rsidRPr="00C82BBE">
        <w:rPr>
          <w:rFonts w:asciiTheme="majorBidi" w:hAnsiTheme="majorBidi" w:cstheme="majorBidi"/>
          <w:sz w:val="24"/>
          <w:szCs w:val="24"/>
        </w:rPr>
        <w:t>Bartonella</w:t>
      </w:r>
      <w:proofErr w:type="spellEnd"/>
      <w:r w:rsidRPr="00C82BBE">
        <w:rPr>
          <w:rFonts w:asciiTheme="majorBidi" w:hAnsiTheme="majorBidi" w:cstheme="majorBidi"/>
          <w:sz w:val="24"/>
          <w:szCs w:val="24"/>
        </w:rPr>
        <w:t xml:space="preserve"> </w:t>
      </w:r>
      <w:proofErr w:type="spellStart"/>
      <w:r w:rsidRPr="00C82BBE">
        <w:rPr>
          <w:rFonts w:asciiTheme="majorBidi" w:hAnsiTheme="majorBidi" w:cstheme="majorBidi"/>
          <w:sz w:val="24"/>
          <w:szCs w:val="24"/>
        </w:rPr>
        <w:t>bovis</w:t>
      </w:r>
      <w:proofErr w:type="spellEnd"/>
      <w:r w:rsidRPr="00C82BBE">
        <w:rPr>
          <w:rFonts w:asciiTheme="majorBidi" w:hAnsiTheme="majorBidi" w:cstheme="majorBidi"/>
          <w:sz w:val="24"/>
          <w:szCs w:val="24"/>
        </w:rPr>
        <w:t>, par la technique d'immunofluorescence indirecte et les facteurs de risques susceptibles d'influencer cette coïnfection ont aussi été étudiés. L'analyse des résultats sérologiques a montré que le pourcentage de la coïnfection par les deux pathogènes était de 57.5 % (au titre de 1/50) et que l'étude des facteurs de risques n'était pas significative.</w:t>
      </w:r>
    </w:p>
    <w:p w:rsidR="00C82BBE" w:rsidRPr="00C82BBE" w:rsidRDefault="00C82BBE" w:rsidP="00C82BBE">
      <w:pPr>
        <w:jc w:val="both"/>
        <w:rPr>
          <w:rFonts w:asciiTheme="majorBidi" w:hAnsiTheme="majorBidi" w:cstheme="majorBidi"/>
          <w:sz w:val="24"/>
          <w:szCs w:val="24"/>
        </w:rPr>
      </w:pPr>
    </w:p>
    <w:p w:rsidR="00C82BBE" w:rsidRPr="00C82BBE" w:rsidRDefault="00C82BBE" w:rsidP="00C82BBE">
      <w:pPr>
        <w:jc w:val="both"/>
        <w:rPr>
          <w:rFonts w:asciiTheme="majorBidi" w:hAnsiTheme="majorBidi" w:cstheme="majorBidi"/>
          <w:sz w:val="24"/>
          <w:szCs w:val="24"/>
        </w:rPr>
      </w:pPr>
      <w:r w:rsidRPr="00C82BBE">
        <w:rPr>
          <w:rFonts w:asciiTheme="majorBidi" w:hAnsiTheme="majorBidi" w:cstheme="majorBidi"/>
          <w:b/>
          <w:bCs/>
          <w:sz w:val="24"/>
          <w:szCs w:val="24"/>
        </w:rPr>
        <w:t>Abstract</w:t>
      </w:r>
      <w:r w:rsidRPr="00C82BBE">
        <w:rPr>
          <w:rFonts w:asciiTheme="majorBidi" w:hAnsiTheme="majorBidi" w:cstheme="majorBidi"/>
          <w:sz w:val="24"/>
          <w:szCs w:val="24"/>
        </w:rPr>
        <w:t>:</w:t>
      </w:r>
    </w:p>
    <w:p w:rsidR="00014BDB" w:rsidRPr="00C82BBE" w:rsidRDefault="00C82BBE" w:rsidP="00C82BBE">
      <w:pPr>
        <w:jc w:val="both"/>
        <w:rPr>
          <w:rFonts w:asciiTheme="majorBidi" w:hAnsiTheme="majorBidi" w:cstheme="majorBidi"/>
          <w:sz w:val="24"/>
          <w:szCs w:val="24"/>
          <w:lang w:val="en-US"/>
        </w:rPr>
      </w:pPr>
      <w:r w:rsidRPr="00C82BBE">
        <w:rPr>
          <w:rFonts w:asciiTheme="majorBidi" w:hAnsiTheme="majorBidi" w:cstheme="majorBidi"/>
          <w:sz w:val="24"/>
          <w:szCs w:val="24"/>
          <w:lang w:val="en-US"/>
        </w:rPr>
        <w:t xml:space="preserve">Bacteria of the genus </w:t>
      </w:r>
      <w:proofErr w:type="spellStart"/>
      <w:r w:rsidRPr="00C82BBE">
        <w:rPr>
          <w:rFonts w:asciiTheme="majorBidi" w:hAnsiTheme="majorBidi" w:cstheme="majorBidi"/>
          <w:sz w:val="24"/>
          <w:szCs w:val="24"/>
          <w:lang w:val="en-US"/>
        </w:rPr>
        <w:t>Bartonella</w:t>
      </w:r>
      <w:proofErr w:type="spellEnd"/>
      <w:r w:rsidRPr="00C82BBE">
        <w:rPr>
          <w:rFonts w:asciiTheme="majorBidi" w:hAnsiTheme="majorBidi" w:cstheme="majorBidi"/>
          <w:sz w:val="24"/>
          <w:szCs w:val="24"/>
          <w:lang w:val="en-US"/>
        </w:rPr>
        <w:t xml:space="preserve"> belongs to the alpha group of </w:t>
      </w:r>
      <w:proofErr w:type="spellStart"/>
      <w:r w:rsidRPr="00C82BBE">
        <w:rPr>
          <w:rFonts w:asciiTheme="majorBidi" w:hAnsiTheme="majorBidi" w:cstheme="majorBidi"/>
          <w:sz w:val="24"/>
          <w:szCs w:val="24"/>
          <w:lang w:val="en-US"/>
        </w:rPr>
        <w:t>Proteobacteria</w:t>
      </w:r>
      <w:proofErr w:type="spellEnd"/>
      <w:r w:rsidRPr="00C82BBE">
        <w:rPr>
          <w:rFonts w:asciiTheme="majorBidi" w:hAnsiTheme="majorBidi" w:cstheme="majorBidi"/>
          <w:sz w:val="24"/>
          <w:szCs w:val="24"/>
          <w:lang w:val="en-US"/>
        </w:rPr>
        <w:t xml:space="preserve"> (subgroup a2) and now to the family </w:t>
      </w:r>
      <w:proofErr w:type="spellStart"/>
      <w:r w:rsidRPr="00C82BBE">
        <w:rPr>
          <w:rFonts w:asciiTheme="majorBidi" w:hAnsiTheme="majorBidi" w:cstheme="majorBidi"/>
          <w:sz w:val="24"/>
          <w:szCs w:val="24"/>
          <w:lang w:val="en-US"/>
        </w:rPr>
        <w:t>Rhizobiaceae</w:t>
      </w:r>
      <w:proofErr w:type="spellEnd"/>
      <w:r w:rsidRPr="00C82BBE">
        <w:rPr>
          <w:rFonts w:asciiTheme="majorBidi" w:hAnsiTheme="majorBidi" w:cstheme="majorBidi"/>
          <w:sz w:val="24"/>
          <w:szCs w:val="24"/>
          <w:lang w:val="en-US"/>
        </w:rPr>
        <w:t xml:space="preserve">. The closest bacterial species </w:t>
      </w:r>
      <w:proofErr w:type="spellStart"/>
      <w:r w:rsidRPr="00C82BBE">
        <w:rPr>
          <w:rFonts w:asciiTheme="majorBidi" w:hAnsiTheme="majorBidi" w:cstheme="majorBidi"/>
          <w:sz w:val="24"/>
          <w:szCs w:val="24"/>
          <w:lang w:val="en-US"/>
        </w:rPr>
        <w:t>phylogenically</w:t>
      </w:r>
      <w:proofErr w:type="spellEnd"/>
      <w:r w:rsidRPr="00C82BBE">
        <w:rPr>
          <w:rFonts w:asciiTheme="majorBidi" w:hAnsiTheme="majorBidi" w:cstheme="majorBidi"/>
          <w:sz w:val="24"/>
          <w:szCs w:val="24"/>
          <w:lang w:val="en-US"/>
        </w:rPr>
        <w:t xml:space="preserve">, to this genus is the </w:t>
      </w:r>
      <w:proofErr w:type="spellStart"/>
      <w:r w:rsidRPr="00C82BBE">
        <w:rPr>
          <w:rFonts w:asciiTheme="majorBidi" w:hAnsiTheme="majorBidi" w:cstheme="majorBidi"/>
          <w:sz w:val="24"/>
          <w:szCs w:val="24"/>
          <w:lang w:val="en-US"/>
        </w:rPr>
        <w:t>Brucella</w:t>
      </w:r>
      <w:proofErr w:type="spellEnd"/>
      <w:r w:rsidRPr="00C82BBE">
        <w:rPr>
          <w:rFonts w:asciiTheme="majorBidi" w:hAnsiTheme="majorBidi" w:cstheme="majorBidi"/>
          <w:sz w:val="24"/>
          <w:szCs w:val="24"/>
          <w:lang w:val="en-US"/>
        </w:rPr>
        <w:t xml:space="preserve">. Both bacterial genera are important in veterinary medicine, on the one hand as pathogenic bacteria recognized for cattle, and on the other hand, because cattle are also known to be reservoirs or sentinels for these </w:t>
      </w:r>
      <w:proofErr w:type="spellStart"/>
      <w:r w:rsidRPr="00C82BBE">
        <w:rPr>
          <w:rFonts w:asciiTheme="majorBidi" w:hAnsiTheme="majorBidi" w:cstheme="majorBidi"/>
          <w:sz w:val="24"/>
          <w:szCs w:val="24"/>
          <w:lang w:val="en-US"/>
        </w:rPr>
        <w:t>zoonotic</w:t>
      </w:r>
      <w:proofErr w:type="spellEnd"/>
      <w:r w:rsidRPr="00C82BBE">
        <w:rPr>
          <w:rFonts w:asciiTheme="majorBidi" w:hAnsiTheme="majorBidi" w:cstheme="majorBidi"/>
          <w:sz w:val="24"/>
          <w:szCs w:val="24"/>
          <w:lang w:val="en-US"/>
        </w:rPr>
        <w:t xml:space="preserve"> agents. In addition, it would appear that </w:t>
      </w:r>
      <w:proofErr w:type="spellStart"/>
      <w:r w:rsidRPr="00C82BBE">
        <w:rPr>
          <w:rFonts w:asciiTheme="majorBidi" w:hAnsiTheme="majorBidi" w:cstheme="majorBidi"/>
          <w:sz w:val="24"/>
          <w:szCs w:val="24"/>
          <w:lang w:val="en-US"/>
        </w:rPr>
        <w:t>Bartonella</w:t>
      </w:r>
      <w:proofErr w:type="spellEnd"/>
      <w:r w:rsidRPr="00C82BBE">
        <w:rPr>
          <w:rFonts w:asciiTheme="majorBidi" w:hAnsiTheme="majorBidi" w:cstheme="majorBidi"/>
          <w:sz w:val="24"/>
          <w:szCs w:val="24"/>
          <w:lang w:val="en-US"/>
        </w:rPr>
        <w:t xml:space="preserve"> spp. and </w:t>
      </w:r>
      <w:proofErr w:type="spellStart"/>
      <w:r w:rsidRPr="00C82BBE">
        <w:rPr>
          <w:rFonts w:asciiTheme="majorBidi" w:hAnsiTheme="majorBidi" w:cstheme="majorBidi"/>
          <w:sz w:val="24"/>
          <w:szCs w:val="24"/>
          <w:lang w:val="en-US"/>
        </w:rPr>
        <w:t>Brucella</w:t>
      </w:r>
      <w:proofErr w:type="spellEnd"/>
      <w:r w:rsidRPr="00C82BBE">
        <w:rPr>
          <w:rFonts w:asciiTheme="majorBidi" w:hAnsiTheme="majorBidi" w:cstheme="majorBidi"/>
          <w:sz w:val="24"/>
          <w:szCs w:val="24"/>
          <w:lang w:val="en-US"/>
        </w:rPr>
        <w:t xml:space="preserve"> spp. have remarkably close attack strategies. That what made us hypothesize that the two bacteria might be associated. In order to confirm or invalidate our hypothesis, we carried out a </w:t>
      </w:r>
      <w:proofErr w:type="spellStart"/>
      <w:r w:rsidRPr="00C82BBE">
        <w:rPr>
          <w:rFonts w:asciiTheme="majorBidi" w:hAnsiTheme="majorBidi" w:cstheme="majorBidi"/>
          <w:sz w:val="24"/>
          <w:szCs w:val="24"/>
          <w:lang w:val="en-US"/>
        </w:rPr>
        <w:t>seroepidemiological</w:t>
      </w:r>
      <w:proofErr w:type="spellEnd"/>
      <w:r w:rsidRPr="00C82BBE">
        <w:rPr>
          <w:rFonts w:asciiTheme="majorBidi" w:hAnsiTheme="majorBidi" w:cstheme="majorBidi"/>
          <w:sz w:val="24"/>
          <w:szCs w:val="24"/>
          <w:lang w:val="en-US"/>
        </w:rPr>
        <w:t xml:space="preserve"> investigation in Algiers. A total of 40 samples (</w:t>
      </w:r>
      <w:proofErr w:type="spellStart"/>
      <w:r w:rsidRPr="00C82BBE">
        <w:rPr>
          <w:rFonts w:asciiTheme="majorBidi" w:hAnsiTheme="majorBidi" w:cstheme="majorBidi"/>
          <w:sz w:val="24"/>
          <w:szCs w:val="24"/>
          <w:lang w:val="en-US"/>
        </w:rPr>
        <w:t>Brucella</w:t>
      </w:r>
      <w:proofErr w:type="spellEnd"/>
      <w:r w:rsidRPr="00C82BBE">
        <w:rPr>
          <w:rFonts w:asciiTheme="majorBidi" w:hAnsiTheme="majorBidi" w:cstheme="majorBidi"/>
          <w:sz w:val="24"/>
          <w:szCs w:val="24"/>
          <w:lang w:val="en-US"/>
        </w:rPr>
        <w:t xml:space="preserve"> +) were analyzed for the anti-</w:t>
      </w:r>
      <w:proofErr w:type="spellStart"/>
      <w:r w:rsidRPr="00C82BBE">
        <w:rPr>
          <w:rFonts w:asciiTheme="majorBidi" w:hAnsiTheme="majorBidi" w:cstheme="majorBidi"/>
          <w:sz w:val="24"/>
          <w:szCs w:val="24"/>
          <w:lang w:val="en-US"/>
        </w:rPr>
        <w:t>Bartonella</w:t>
      </w:r>
      <w:proofErr w:type="spellEnd"/>
      <w:r w:rsidRPr="00C82BBE">
        <w:rPr>
          <w:rFonts w:asciiTheme="majorBidi" w:hAnsiTheme="majorBidi" w:cstheme="majorBidi"/>
          <w:sz w:val="24"/>
          <w:szCs w:val="24"/>
          <w:lang w:val="en-US"/>
        </w:rPr>
        <w:t xml:space="preserve"> </w:t>
      </w:r>
      <w:proofErr w:type="spellStart"/>
      <w:r w:rsidRPr="00C82BBE">
        <w:rPr>
          <w:rFonts w:asciiTheme="majorBidi" w:hAnsiTheme="majorBidi" w:cstheme="majorBidi"/>
          <w:sz w:val="24"/>
          <w:szCs w:val="24"/>
          <w:lang w:val="en-US"/>
        </w:rPr>
        <w:t>bovis</w:t>
      </w:r>
      <w:proofErr w:type="spellEnd"/>
      <w:r w:rsidRPr="00C82BBE">
        <w:rPr>
          <w:rFonts w:asciiTheme="majorBidi" w:hAnsiTheme="majorBidi" w:cstheme="majorBidi"/>
          <w:sz w:val="24"/>
          <w:szCs w:val="24"/>
          <w:lang w:val="en-US"/>
        </w:rPr>
        <w:t xml:space="preserve"> antibodies using the indirect </w:t>
      </w:r>
      <w:proofErr w:type="spellStart"/>
      <w:r w:rsidRPr="00C82BBE">
        <w:rPr>
          <w:rFonts w:asciiTheme="majorBidi" w:hAnsiTheme="majorBidi" w:cstheme="majorBidi"/>
          <w:sz w:val="24"/>
          <w:szCs w:val="24"/>
          <w:lang w:val="en-US"/>
        </w:rPr>
        <w:t>immunofluorescence</w:t>
      </w:r>
      <w:proofErr w:type="spellEnd"/>
      <w:r w:rsidRPr="00C82BBE">
        <w:rPr>
          <w:rFonts w:asciiTheme="majorBidi" w:hAnsiTheme="majorBidi" w:cstheme="majorBidi"/>
          <w:sz w:val="24"/>
          <w:szCs w:val="24"/>
          <w:lang w:val="en-US"/>
        </w:rPr>
        <w:t xml:space="preserve"> technique, and the risk factors likely to influence this co-infection were also studied. Analysis of the serological results showed that the percentage of </w:t>
      </w:r>
      <w:proofErr w:type="spellStart"/>
      <w:r w:rsidRPr="00C82BBE">
        <w:rPr>
          <w:rFonts w:asciiTheme="majorBidi" w:hAnsiTheme="majorBidi" w:cstheme="majorBidi"/>
          <w:sz w:val="24"/>
          <w:szCs w:val="24"/>
          <w:lang w:val="en-US"/>
        </w:rPr>
        <w:t>coinfection</w:t>
      </w:r>
      <w:proofErr w:type="spellEnd"/>
      <w:r w:rsidRPr="00C82BBE">
        <w:rPr>
          <w:rFonts w:asciiTheme="majorBidi" w:hAnsiTheme="majorBidi" w:cstheme="majorBidi"/>
          <w:sz w:val="24"/>
          <w:szCs w:val="24"/>
          <w:lang w:val="en-US"/>
        </w:rPr>
        <w:t xml:space="preserve"> by the two pathogens was 57.5 % (1/50), and that the </w:t>
      </w:r>
      <w:proofErr w:type="spellStart"/>
      <w:r w:rsidRPr="00C82BBE">
        <w:rPr>
          <w:rFonts w:asciiTheme="majorBidi" w:hAnsiTheme="majorBidi" w:cstheme="majorBidi"/>
          <w:sz w:val="24"/>
          <w:szCs w:val="24"/>
          <w:lang w:val="en-US"/>
        </w:rPr>
        <w:t>seroprevalence</w:t>
      </w:r>
      <w:proofErr w:type="spellEnd"/>
      <w:r w:rsidRPr="00C82BBE">
        <w:rPr>
          <w:rFonts w:asciiTheme="majorBidi" w:hAnsiTheme="majorBidi" w:cstheme="majorBidi"/>
          <w:sz w:val="24"/>
          <w:szCs w:val="24"/>
          <w:lang w:val="en-US"/>
        </w:rPr>
        <w:t xml:space="preserve"> obtained was not associated with age, race and sex.</w:t>
      </w:r>
    </w:p>
    <w:sectPr w:rsidR="00014BDB" w:rsidRPr="00C82BB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21EDA"/>
    <w:rsid w:val="00167702"/>
    <w:rsid w:val="0017227E"/>
    <w:rsid w:val="001B3597"/>
    <w:rsid w:val="001B5F10"/>
    <w:rsid w:val="001B760B"/>
    <w:rsid w:val="00237A83"/>
    <w:rsid w:val="00260855"/>
    <w:rsid w:val="002B044C"/>
    <w:rsid w:val="00381355"/>
    <w:rsid w:val="00392867"/>
    <w:rsid w:val="003A4A2E"/>
    <w:rsid w:val="003D4DA6"/>
    <w:rsid w:val="003E68E0"/>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B0A27"/>
    <w:rsid w:val="009B4EA7"/>
    <w:rsid w:val="009D7C09"/>
    <w:rsid w:val="009E0E9D"/>
    <w:rsid w:val="00A01FAB"/>
    <w:rsid w:val="00A26B37"/>
    <w:rsid w:val="00A42AFB"/>
    <w:rsid w:val="00A4691D"/>
    <w:rsid w:val="00AB22D2"/>
    <w:rsid w:val="00AC3907"/>
    <w:rsid w:val="00AE46E9"/>
    <w:rsid w:val="00B25228"/>
    <w:rsid w:val="00B25553"/>
    <w:rsid w:val="00B42C4D"/>
    <w:rsid w:val="00B70541"/>
    <w:rsid w:val="00B72765"/>
    <w:rsid w:val="00B74DF7"/>
    <w:rsid w:val="00C34444"/>
    <w:rsid w:val="00C67D36"/>
    <w:rsid w:val="00C82BBE"/>
    <w:rsid w:val="00C91157"/>
    <w:rsid w:val="00CC6A19"/>
    <w:rsid w:val="00CD6945"/>
    <w:rsid w:val="00D06E52"/>
    <w:rsid w:val="00D541C4"/>
    <w:rsid w:val="00D74570"/>
    <w:rsid w:val="00D91258"/>
    <w:rsid w:val="00DE484A"/>
    <w:rsid w:val="00E50CC7"/>
    <w:rsid w:val="00EA1340"/>
    <w:rsid w:val="00F0165E"/>
    <w:rsid w:val="00F31AE3"/>
    <w:rsid w:val="00F5088E"/>
    <w:rsid w:val="00F9150C"/>
    <w:rsid w:val="00FB054B"/>
    <w:rsid w:val="00FF04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99</cp:revision>
  <dcterms:created xsi:type="dcterms:W3CDTF">2019-12-10T12:38:00Z</dcterms:created>
  <dcterms:modified xsi:type="dcterms:W3CDTF">2019-12-15T13:11:00Z</dcterms:modified>
</cp:coreProperties>
</file>