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D9" w:rsidRPr="00E64142" w:rsidRDefault="00E64142" w:rsidP="00E64142">
      <w:pPr>
        <w:jc w:val="both"/>
        <w:rPr>
          <w:rFonts w:ascii="Times New Roman" w:hAnsi="Times New Roman" w:cs="Times New Roman"/>
          <w:b/>
          <w:sz w:val="28"/>
          <w:szCs w:val="28"/>
        </w:rPr>
      </w:pPr>
      <w:r w:rsidRPr="00E64142">
        <w:rPr>
          <w:rFonts w:ascii="Times New Roman" w:hAnsi="Times New Roman" w:cs="Times New Roman"/>
          <w:b/>
          <w:sz w:val="28"/>
          <w:szCs w:val="28"/>
        </w:rPr>
        <w:t>Résumé du  PFE : sous-titre :</w:t>
      </w:r>
      <w:r w:rsidRPr="00E64142">
        <w:rPr>
          <w:rFonts w:ascii="Times New Roman" w:hAnsi="Times New Roman" w:cs="Times New Roman"/>
          <w:b/>
          <w:sz w:val="28"/>
          <w:szCs w:val="28"/>
        </w:rPr>
        <w:t xml:space="preserve"> </w:t>
      </w:r>
      <w:r w:rsidRPr="00E64142">
        <w:rPr>
          <w:rFonts w:ascii="Times New Roman" w:hAnsi="Times New Roman" w:cs="Times New Roman"/>
          <w:b/>
          <w:sz w:val="28"/>
          <w:szCs w:val="28"/>
        </w:rPr>
        <w:t>Contribution à l'étude des motifs de saisie dans deux établissements d'abattage de volailles</w:t>
      </w:r>
    </w:p>
    <w:p w:rsidR="00E64142" w:rsidRPr="00E64142" w:rsidRDefault="00E64142" w:rsidP="00E64142">
      <w:pPr>
        <w:jc w:val="both"/>
        <w:rPr>
          <w:rFonts w:ascii="Times New Roman" w:hAnsi="Times New Roman" w:cs="Times New Roman"/>
          <w:b/>
          <w:sz w:val="28"/>
          <w:szCs w:val="28"/>
        </w:rPr>
      </w:pPr>
    </w:p>
    <w:p w:rsidR="00E64142" w:rsidRDefault="00E64142">
      <w:pPr>
        <w:rPr>
          <w:rFonts w:ascii="Times New Roman" w:hAnsi="Times New Roman" w:cs="Times New Roman"/>
          <w:b/>
          <w:sz w:val="28"/>
          <w:szCs w:val="28"/>
        </w:rPr>
      </w:pPr>
      <w:bookmarkStart w:id="0" w:name="_GoBack"/>
      <w:bookmarkEnd w:id="0"/>
    </w:p>
    <w:p w:rsidR="00E64142" w:rsidRDefault="00E64142">
      <w:pPr>
        <w:rPr>
          <w:rFonts w:ascii="Times New Roman" w:hAnsi="Times New Roman" w:cs="Times New Roman"/>
          <w:b/>
          <w:sz w:val="28"/>
          <w:szCs w:val="28"/>
        </w:rPr>
      </w:pPr>
    </w:p>
    <w:p w:rsidR="00E64142" w:rsidRPr="00E64142" w:rsidRDefault="00E64142" w:rsidP="00E64142">
      <w:pPr>
        <w:jc w:val="both"/>
        <w:rPr>
          <w:rFonts w:ascii="Times New Roman" w:hAnsi="Times New Roman" w:cs="Times New Roman"/>
          <w:b/>
          <w:sz w:val="24"/>
          <w:szCs w:val="24"/>
        </w:rPr>
      </w:pPr>
      <w:r w:rsidRPr="00E64142">
        <w:rPr>
          <w:rFonts w:ascii="Times New Roman" w:hAnsi="Times New Roman" w:cs="Times New Roman"/>
          <w:b/>
          <w:bCs/>
          <w:sz w:val="24"/>
          <w:szCs w:val="24"/>
        </w:rPr>
        <w:t>Résumé</w:t>
      </w:r>
      <w:r w:rsidRPr="00E64142">
        <w:rPr>
          <w:rFonts w:ascii="Times New Roman" w:hAnsi="Times New Roman" w:cs="Times New Roman"/>
          <w:b/>
          <w:sz w:val="24"/>
          <w:szCs w:val="24"/>
        </w:rPr>
        <w:t xml:space="preserve"> : </w:t>
      </w:r>
    </w:p>
    <w:p w:rsidR="00E64142" w:rsidRPr="00E64142" w:rsidRDefault="00E64142" w:rsidP="00E64142">
      <w:pPr>
        <w:jc w:val="both"/>
        <w:rPr>
          <w:rFonts w:ascii="Times New Roman" w:hAnsi="Times New Roman" w:cs="Times New Roman"/>
          <w:sz w:val="24"/>
          <w:szCs w:val="24"/>
          <w:lang w:val="en-US"/>
        </w:rPr>
      </w:pPr>
      <w:r w:rsidRPr="00E64142">
        <w:rPr>
          <w:rFonts w:ascii="Times New Roman" w:hAnsi="Times New Roman" w:cs="Times New Roman"/>
          <w:sz w:val="24"/>
          <w:szCs w:val="24"/>
        </w:rPr>
        <w:t xml:space="preserve">Le présent travail a pour objet l’étude des différents motifs de saisie dans deux établissements d’abattage avicole de statut diffèrent. Les résultats ont montrés que la conception des deux établissements ne répond pas aux exigences de la règlementation algérienne. Les bonnes pratiques d’hygiène sont plus ou moins respectées à l’abattoir contrairement à la tuerie. Le personnel n’est pas formé dans les deux établissements. L’abattage se fait manuellement contrairement à l’abattoir où il est fait automatiquement. L’inspection ante-mortem n’est pas réalisée dans les deux unités d’abattage. Les différents motifs de saisie observés dans les deux établissements sont les fractures, viande sombre, hématomes, cachexie, début de cuisson, lésions cutanées, ampoule du bréchet et dermatite de contact, avec des pourcentages variables entre les lésions et entre les deux établissements. La viande sombre est la lésion dominante à l’abattoir (46 ,46%) alors que les fractures prédominent dans la tuerie (40%). </w:t>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b/>
          <w:sz w:val="24"/>
          <w:szCs w:val="24"/>
          <w:lang w:val="en-US"/>
        </w:rPr>
        <w:t xml:space="preserve">Abstract: </w:t>
      </w:r>
      <w:r w:rsidRPr="00E64142">
        <w:rPr>
          <w:rFonts w:ascii="Times New Roman" w:hAnsi="Times New Roman" w:cs="Times New Roman"/>
          <w:b/>
          <w:sz w:val="24"/>
          <w:szCs w:val="24"/>
          <w:lang w:val="en-US"/>
        </w:rPr>
        <w:br/>
      </w:r>
      <w:r w:rsidRPr="00E64142">
        <w:rPr>
          <w:rFonts w:ascii="Times New Roman" w:hAnsi="Times New Roman" w:cs="Times New Roman"/>
          <w:sz w:val="24"/>
          <w:szCs w:val="24"/>
          <w:lang w:val="en-US"/>
        </w:rPr>
        <w:t>The present work has for object the study of the various motives for seizure in two establishments of poultry slaughter of status postpone. The results showed that the conception of both establishments does not meet the requirements of the Algerian regulations. Good hygienic practice is more or less respected in the slaughterhouse contrary to the slaughter. The staff is not trained in both establishments. The slaughter is made manually contrary to the slaughterhouse where it is automatically made. The ante-mortem inspection is not realized in both units of slaughter. The various motives for seizure observed in both establishments are fractures, meat sinks, bruises, cachexia, at the beginning of cooking, cutaneous hurts, bulb of the wishbone and the dermatitis of contact, with variable percentages between the hurts and between both establishments. The dark meat is the dominant lesion in the slaughterhouse (46, 46 %) while fractures prevail in the slaughter (40 %).</w:t>
      </w:r>
    </w:p>
    <w:sectPr w:rsidR="00E64142" w:rsidRPr="00E64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42"/>
    <w:rsid w:val="00B877D9"/>
    <w:rsid w:val="00E64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2019-12-16T09:15:00Z</dcterms:created>
  <dcterms:modified xsi:type="dcterms:W3CDTF">2019-12-16T09:17:00Z</dcterms:modified>
</cp:coreProperties>
</file>