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2E" w:rsidRPr="00323C88" w:rsidRDefault="00323C88" w:rsidP="00323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88">
        <w:rPr>
          <w:rFonts w:ascii="Times New Roman" w:hAnsi="Times New Roman" w:cs="Times New Roman"/>
          <w:b/>
          <w:sz w:val="28"/>
          <w:szCs w:val="28"/>
        </w:rPr>
        <w:t>Résumé du  PFE : sous-titre :</w:t>
      </w:r>
      <w:r w:rsidRPr="0032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88">
        <w:rPr>
          <w:rFonts w:ascii="Times New Roman" w:hAnsi="Times New Roman" w:cs="Times New Roman"/>
          <w:b/>
          <w:sz w:val="28"/>
          <w:szCs w:val="28"/>
        </w:rPr>
        <w:t>Motifs de saisie des viandes blanches au niveau de deux établissements d'abattage avicoles situés dans la région Est de l'Algérie (Batna et Souk-Ahras)</w:t>
      </w:r>
    </w:p>
    <w:p w:rsidR="00323C88" w:rsidRDefault="00323C88"/>
    <w:p w:rsidR="00323C88" w:rsidRDefault="00323C88">
      <w:bookmarkStart w:id="0" w:name="_GoBack"/>
      <w:bookmarkEnd w:id="0"/>
    </w:p>
    <w:p w:rsidR="00323C88" w:rsidRPr="00323C88" w:rsidRDefault="00323C88" w:rsidP="00323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88" w:rsidRPr="00323C88" w:rsidRDefault="00323C88" w:rsidP="00323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88" w:rsidRPr="00323C88" w:rsidRDefault="00323C88" w:rsidP="00323C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C88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323C88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323C88" w:rsidRPr="00323C88" w:rsidRDefault="00323C88" w:rsidP="00323C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3C88">
        <w:rPr>
          <w:rFonts w:ascii="Times New Roman" w:hAnsi="Times New Roman" w:cs="Times New Roman"/>
          <w:sz w:val="24"/>
          <w:szCs w:val="24"/>
        </w:rPr>
        <w:t>L’étude a été réalisée au niveau de deux établissements d’abattage : un abattoir industriel situé dans la wilaya de Batna et une tuerie traditionnelle localisée dans la wilaya de Souk-Ahras. L’inspection ante mortem était limitée uniquement à l’élimination des sujets morts. De ce fait, nous n’avons pas pu inspecter les poulets de chair malades sur la totalité des lots. Par ailleurs, Notre étude a révélé que des taux de mortalité à l’inspection ante-mortem de l’ordre de 7,73%. De plus, à l’inspection post-mortem nous avons constaté la présence de plusieurs motifs de saisies des carcasses de volaille tels que les lésions cutanées (3,93%), les poulets mal saignés (9,18%), les viandes congestionnées (12,20%), les hématomes (15,13%), les poulets cachectiques (18,17%), les poulets sur-échaudés (19,94%) et les fractures (21,41%). Parmi les motifs de saisie les plus fréquemment enregistrés nous avons les fractures (21,41%) et les poulets échaudés (19,94%) (P&gt;0,05). De ce fait, la méthode de travail à tous les stades d’abattage reste le point critique de ces unités où la main d’</w:t>
      </w:r>
      <w:r w:rsidRPr="00323C88">
        <w:rPr>
          <w:rFonts w:ascii="Times New Roman" w:hAnsi="Times New Roman" w:cs="Times New Roman"/>
          <w:sz w:val="24"/>
          <w:szCs w:val="24"/>
        </w:rPr>
        <w:t>œuvre</w:t>
      </w:r>
      <w:r w:rsidRPr="00323C88">
        <w:rPr>
          <w:rFonts w:ascii="Times New Roman" w:hAnsi="Times New Roman" w:cs="Times New Roman"/>
          <w:sz w:val="24"/>
          <w:szCs w:val="24"/>
        </w:rPr>
        <w:t xml:space="preserve"> non qualifiée ou mal formée constituerait une source probable de motifs de saisie. </w:t>
      </w:r>
      <w:r w:rsidRPr="00323C88">
        <w:rPr>
          <w:rFonts w:ascii="Times New Roman" w:hAnsi="Times New Roman" w:cs="Times New Roman"/>
          <w:sz w:val="24"/>
          <w:szCs w:val="24"/>
        </w:rPr>
        <w:br/>
      </w:r>
      <w:r w:rsidRPr="00323C88">
        <w:rPr>
          <w:rFonts w:ascii="Times New Roman" w:hAnsi="Times New Roman" w:cs="Times New Roman"/>
          <w:sz w:val="24"/>
          <w:szCs w:val="24"/>
        </w:rPr>
        <w:br/>
      </w:r>
      <w:r w:rsidRPr="00323C88">
        <w:rPr>
          <w:rFonts w:ascii="Times New Roman" w:hAnsi="Times New Roman" w:cs="Times New Roman"/>
          <w:sz w:val="24"/>
          <w:szCs w:val="24"/>
        </w:rPr>
        <w:br/>
      </w:r>
      <w:r w:rsidRPr="00323C88">
        <w:rPr>
          <w:rFonts w:ascii="Times New Roman" w:hAnsi="Times New Roman" w:cs="Times New Roman"/>
          <w:sz w:val="24"/>
          <w:szCs w:val="24"/>
        </w:rPr>
        <w:br/>
      </w:r>
      <w:r w:rsidRPr="00323C88">
        <w:rPr>
          <w:rFonts w:ascii="Times New Roman" w:hAnsi="Times New Roman" w:cs="Times New Roman"/>
          <w:sz w:val="24"/>
          <w:szCs w:val="24"/>
        </w:rPr>
        <w:br/>
      </w:r>
      <w:r w:rsidRPr="00323C88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323C8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323C8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study was carried out on the level of two establishments of demolition: an industrial slaughter-house located in the </w:t>
      </w:r>
      <w:proofErr w:type="spellStart"/>
      <w:r w:rsidRPr="00323C88">
        <w:rPr>
          <w:rFonts w:ascii="Times New Roman" w:hAnsi="Times New Roman" w:cs="Times New Roman"/>
          <w:sz w:val="24"/>
          <w:szCs w:val="24"/>
          <w:lang w:val="en-US"/>
        </w:rPr>
        <w:t>wilaya</w:t>
      </w:r>
      <w:proofErr w:type="spell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323C88">
        <w:rPr>
          <w:rFonts w:ascii="Times New Roman" w:hAnsi="Times New Roman" w:cs="Times New Roman"/>
          <w:sz w:val="24"/>
          <w:szCs w:val="24"/>
          <w:lang w:val="en-US"/>
        </w:rPr>
        <w:t>Batna</w:t>
      </w:r>
      <w:proofErr w:type="spell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and a traditional slaughter </w:t>
      </w:r>
      <w:proofErr w:type="spellStart"/>
      <w:r w:rsidRPr="00323C88">
        <w:rPr>
          <w:rFonts w:ascii="Times New Roman" w:hAnsi="Times New Roman" w:cs="Times New Roman"/>
          <w:sz w:val="24"/>
          <w:szCs w:val="24"/>
          <w:lang w:val="en-US"/>
        </w:rPr>
        <w:t>localised</w:t>
      </w:r>
      <w:proofErr w:type="spell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323C88">
        <w:rPr>
          <w:rFonts w:ascii="Times New Roman" w:hAnsi="Times New Roman" w:cs="Times New Roman"/>
          <w:sz w:val="24"/>
          <w:szCs w:val="24"/>
          <w:lang w:val="en-US"/>
        </w:rPr>
        <w:t>wilaya</w:t>
      </w:r>
      <w:proofErr w:type="spell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of Souk-</w:t>
      </w:r>
      <w:proofErr w:type="spellStart"/>
      <w:r w:rsidRPr="00323C88">
        <w:rPr>
          <w:rFonts w:ascii="Times New Roman" w:hAnsi="Times New Roman" w:cs="Times New Roman"/>
          <w:sz w:val="24"/>
          <w:szCs w:val="24"/>
          <w:lang w:val="en-US"/>
        </w:rPr>
        <w:t>Ahras</w:t>
      </w:r>
      <w:proofErr w:type="spell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. The inspection ante mortem was limited only to the elimination of the dead subjects. So we could not inspect sick table fowls on the totality of the batches. In addition, </w:t>
      </w:r>
      <w:proofErr w:type="gramStart"/>
      <w:r w:rsidRPr="00323C88"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gram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study revealed that mortality rates with the inspection handle-mortem of about 7.73%. Moreover, </w:t>
      </w:r>
      <w:proofErr w:type="gramStart"/>
      <w:r w:rsidRPr="00323C88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the inspection post-mortem we noted the presence of several reasons for seizures of the poultry carcasses such as the cutaneous lesions (3.93%), the badly bled chickens (9.18%), the congested meats (12.20%), the bruises (15.13%), cachectic chickens (18.17%), scalded chickens (19.94%) and the fractures (21.41%). Among the reasons for seizure most frequently recorded we have the scalded fractures (21.41%) and chickens (19.94%) </w:t>
      </w:r>
      <w:proofErr w:type="gramStart"/>
      <w:r w:rsidRPr="00323C88">
        <w:rPr>
          <w:rFonts w:ascii="Times New Roman" w:hAnsi="Times New Roman" w:cs="Times New Roman"/>
          <w:sz w:val="24"/>
          <w:szCs w:val="24"/>
          <w:lang w:val="en-US"/>
        </w:rPr>
        <w:t>(P&gt; 0.05).</w:t>
      </w:r>
      <w:proofErr w:type="gram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So the work method at all the stages of demolition remains the critical point of these units where the </w:t>
      </w:r>
      <w:proofErr w:type="spellStart"/>
      <w:r w:rsidRPr="00323C88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323C88">
        <w:rPr>
          <w:rFonts w:ascii="Times New Roman" w:hAnsi="Times New Roman" w:cs="Times New Roman"/>
          <w:sz w:val="24"/>
          <w:szCs w:val="24"/>
          <w:lang w:val="en-US"/>
        </w:rPr>
        <w:t xml:space="preserve"> not qualified or malformed would constitute a probable source of reasons for seizure.</w:t>
      </w:r>
    </w:p>
    <w:sectPr w:rsidR="00323C88" w:rsidRPr="0032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88"/>
    <w:rsid w:val="00323C88"/>
    <w:rsid w:val="005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2019-12-16T13:11:00Z</dcterms:created>
  <dcterms:modified xsi:type="dcterms:W3CDTF">2019-12-16T13:12:00Z</dcterms:modified>
</cp:coreProperties>
</file>