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E9" w:rsidRDefault="00112DE9" w:rsidP="00113E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E9" w:rsidRPr="006515ED" w:rsidRDefault="00FC1257" w:rsidP="00113EF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15ED">
        <w:rPr>
          <w:rFonts w:ascii="Times New Roman" w:hAnsi="Times New Roman" w:cs="Times New Roman"/>
          <w:b/>
          <w:sz w:val="28"/>
          <w:szCs w:val="28"/>
        </w:rPr>
        <w:t xml:space="preserve">Résumé du  PFE : sous-titre : </w:t>
      </w:r>
      <w:r w:rsidR="006515ED" w:rsidRPr="006515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Application de schémas thérapeutiques sur des vaches laitières en </w:t>
      </w:r>
      <w:proofErr w:type="spellStart"/>
      <w:r w:rsidR="006515ED" w:rsidRPr="006515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anoestrus</w:t>
      </w:r>
      <w:proofErr w:type="spellEnd"/>
      <w:r w:rsidR="006515ED" w:rsidRPr="006515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post-partum dans la ferme ITELV de Baba Ali</w:t>
      </w:r>
    </w:p>
    <w:p w:rsidR="00113EF8" w:rsidRPr="006515ED" w:rsidRDefault="00113EF8" w:rsidP="00113EF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13EF8" w:rsidRPr="006515ED" w:rsidRDefault="00113EF8" w:rsidP="00113EF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15ED" w:rsidRPr="006515ED" w:rsidRDefault="006515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15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5E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Résumé</w:t>
      </w:r>
      <w:r w:rsidRPr="00651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</w:p>
    <w:p w:rsidR="00113EF8" w:rsidRPr="006515ED" w:rsidRDefault="006515ED">
      <w:pPr>
        <w:jc w:val="both"/>
        <w:rPr>
          <w:rFonts w:ascii="Times New Roman" w:hAnsi="Times New Roman" w:cs="Times New Roman"/>
          <w:sz w:val="24"/>
          <w:szCs w:val="24"/>
        </w:rPr>
      </w:pPr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L’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anoestrus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partum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doit être maitrisé pour atteindre l’objectif de production d’un veau par vache et par an et une production laitière à longueur d’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année.Au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sein de l’ITELV de Baba Ali, une étude a été menée sur un effectif de 20 vaches laitières supposées être en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anoestrus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partum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ces femelles sont réparties en 2 lots (lot A : femelles en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anoestrus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vrai par inactivité ovarienne, le lot B : femelles en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sub-oestrus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).Deux schémas thérapeutiques ont été réalisés et comparés (protocole PRID pour le lot A et protocole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Ovsynch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pour le lot B). A l’issue de cette expérimentation, l’étude rétrospective montre que les intervalles naissance première mise à la reproduction ; l’âge du premier vêlage ; l’intervalle vêlage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vêlage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 ainsi que l’intervalle dernier vêlage premier insémination dépassent les normes. Ils sont respectivement de : 700 jours ; 970 jours ; 600 jours ; 175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jours.Il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ressort également de cette étude que le taux d’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oestrus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 satisfaisant surtout pour le lot A (90%), néanmoins un taux de fertilité faible (33,33%) a été enregistré pour les deux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lots.Les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notes d’état corporel ainsi que le profil biochimique (glycémie, cholestérolémie, triglycérides) révèlent que les femelles traitées étaient en bilan énergétique positif donc aucune influence négative sur la fertilité </w:t>
      </w:r>
      <w:proofErr w:type="spellStart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obtenue.Le</w:t>
      </w:r>
      <w:proofErr w:type="spellEnd"/>
      <w:r w:rsidRPr="00651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facteur stress(essentiellement les travaux entrepris par l’institut pendant l’expérimentation) et la fréquence importante des différentes pathologies (65%) représentent les principales causes de la mauvaise fertilité.</w:t>
      </w:r>
    </w:p>
    <w:sectPr w:rsidR="00113EF8" w:rsidRPr="0065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57"/>
    <w:rsid w:val="000F6C05"/>
    <w:rsid w:val="00112DE9"/>
    <w:rsid w:val="00113EF8"/>
    <w:rsid w:val="006515ED"/>
    <w:rsid w:val="006E158D"/>
    <w:rsid w:val="00A43341"/>
    <w:rsid w:val="00C3698E"/>
    <w:rsid w:val="00C81A5A"/>
    <w:rsid w:val="00CA30FE"/>
    <w:rsid w:val="00D33548"/>
    <w:rsid w:val="00D57DA5"/>
    <w:rsid w:val="00E86521"/>
    <w:rsid w:val="00F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3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ensv</dc:creator>
  <cp:lastModifiedBy>ensv</cp:lastModifiedBy>
  <cp:revision>11</cp:revision>
  <dcterms:created xsi:type="dcterms:W3CDTF">2020-01-14T08:44:00Z</dcterms:created>
  <dcterms:modified xsi:type="dcterms:W3CDTF">2020-01-16T09:50:00Z</dcterms:modified>
</cp:coreProperties>
</file>