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25" w:rsidRDefault="00CA3225" w:rsidP="00CA32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CA3225">
        <w:rPr>
          <w:rFonts w:asciiTheme="majorBidi" w:hAnsiTheme="majorBidi" w:cstheme="majorBidi"/>
          <w:b/>
          <w:bCs/>
          <w:sz w:val="28"/>
          <w:szCs w:val="28"/>
        </w:rPr>
        <w:t>Contribution à l’étude de l’activité antibactérienne de l’huile essentielle de l’</w:t>
      </w:r>
      <w:proofErr w:type="spellStart"/>
      <w:r w:rsidRPr="00CA3225">
        <w:rPr>
          <w:rFonts w:asciiTheme="majorBidi" w:hAnsiTheme="majorBidi" w:cstheme="majorBidi"/>
          <w:b/>
          <w:bCs/>
          <w:sz w:val="28"/>
          <w:szCs w:val="28"/>
        </w:rPr>
        <w:t>origanum</w:t>
      </w:r>
      <w:proofErr w:type="spellEnd"/>
      <w:r w:rsidRPr="00CA3225">
        <w:rPr>
          <w:rFonts w:asciiTheme="majorBidi" w:hAnsiTheme="majorBidi" w:cstheme="majorBidi"/>
          <w:b/>
          <w:bCs/>
          <w:sz w:val="28"/>
          <w:szCs w:val="28"/>
        </w:rPr>
        <w:t xml:space="preserve"> </w:t>
      </w:r>
      <w:proofErr w:type="spellStart"/>
      <w:r w:rsidRPr="00CA3225">
        <w:rPr>
          <w:rFonts w:asciiTheme="majorBidi" w:hAnsiTheme="majorBidi" w:cstheme="majorBidi"/>
          <w:b/>
          <w:bCs/>
          <w:sz w:val="28"/>
          <w:szCs w:val="28"/>
        </w:rPr>
        <w:t>glandulosum</w:t>
      </w:r>
      <w:proofErr w:type="spellEnd"/>
      <w:r w:rsidRPr="00CA3225">
        <w:rPr>
          <w:rFonts w:asciiTheme="majorBidi" w:hAnsiTheme="majorBidi" w:cstheme="majorBidi"/>
          <w:b/>
          <w:bCs/>
          <w:sz w:val="28"/>
          <w:szCs w:val="28"/>
        </w:rPr>
        <w:t xml:space="preserve"> vis-à-vis des souches d’</w:t>
      </w:r>
      <w:proofErr w:type="spellStart"/>
      <w:r w:rsidRPr="00CA3225">
        <w:rPr>
          <w:rFonts w:asciiTheme="majorBidi" w:hAnsiTheme="majorBidi" w:cstheme="majorBidi"/>
          <w:b/>
          <w:bCs/>
          <w:sz w:val="28"/>
          <w:szCs w:val="28"/>
        </w:rPr>
        <w:t>escherichia</w:t>
      </w:r>
      <w:proofErr w:type="spellEnd"/>
      <w:r w:rsidRPr="00CA3225">
        <w:rPr>
          <w:rFonts w:asciiTheme="majorBidi" w:hAnsiTheme="majorBidi" w:cstheme="majorBidi"/>
          <w:b/>
          <w:bCs/>
          <w:sz w:val="28"/>
          <w:szCs w:val="28"/>
        </w:rPr>
        <w:t xml:space="preserve"> coli d’origine aviaire et d’autres bactéries de référence</w:t>
      </w:r>
    </w:p>
    <w:p w:rsidR="00CA3225" w:rsidRDefault="00CA3225" w:rsidP="00CA3225">
      <w:pPr>
        <w:jc w:val="both"/>
        <w:rPr>
          <w:rFonts w:asciiTheme="majorBidi" w:hAnsiTheme="majorBidi" w:cstheme="majorBidi"/>
          <w:b/>
          <w:bCs/>
          <w:sz w:val="28"/>
          <w:szCs w:val="28"/>
        </w:rPr>
      </w:pPr>
    </w:p>
    <w:p w:rsidR="00CA3225" w:rsidRPr="00CA3225" w:rsidRDefault="00CA3225" w:rsidP="00CA3225">
      <w:pPr>
        <w:jc w:val="both"/>
        <w:rPr>
          <w:sz w:val="24"/>
          <w:szCs w:val="24"/>
        </w:rPr>
      </w:pPr>
      <w:r w:rsidRPr="00CA3225">
        <w:rPr>
          <w:rFonts w:asciiTheme="majorBidi" w:hAnsiTheme="majorBidi" w:cstheme="majorBidi"/>
          <w:b/>
          <w:bCs/>
          <w:sz w:val="24"/>
          <w:szCs w:val="24"/>
        </w:rPr>
        <w:t>Résumé :</w:t>
      </w:r>
    </w:p>
    <w:p w:rsidR="00CA3225" w:rsidRPr="00CA3225" w:rsidRDefault="00CA3225" w:rsidP="00CA3225">
      <w:pPr>
        <w:jc w:val="both"/>
        <w:rPr>
          <w:rFonts w:ascii="Times New Roman" w:hAnsi="Times New Roman" w:cs="Times New Roman"/>
          <w:sz w:val="24"/>
          <w:szCs w:val="24"/>
        </w:rPr>
      </w:pPr>
      <w:r w:rsidRPr="00CA3225">
        <w:rPr>
          <w:rFonts w:ascii="Times New Roman" w:hAnsi="Times New Roman" w:cs="Times New Roman"/>
          <w:sz w:val="24"/>
          <w:szCs w:val="24"/>
        </w:rPr>
        <w:t>La résistance bactérienne aux antibiotiques et la recherche de nouvelles alternatives à ces derniers revêtent une grande importance en santé humaine et animale. L’objectif principal de cette étude a été d’évaluer les propriétés antibactériennes de l’huile essentielle d’</w:t>
      </w:r>
      <w:proofErr w:type="spellStart"/>
      <w:r w:rsidRPr="00CA3225">
        <w:rPr>
          <w:rFonts w:ascii="Times New Roman" w:hAnsi="Times New Roman" w:cs="Times New Roman"/>
          <w:sz w:val="24"/>
          <w:szCs w:val="24"/>
        </w:rPr>
        <w:t>Origanum</w:t>
      </w:r>
      <w:proofErr w:type="spellEnd"/>
      <w:r w:rsidRPr="00CA3225">
        <w:rPr>
          <w:rFonts w:ascii="Times New Roman" w:hAnsi="Times New Roman" w:cs="Times New Roman"/>
          <w:sz w:val="24"/>
          <w:szCs w:val="24"/>
        </w:rPr>
        <w:t xml:space="preserve"> </w:t>
      </w:r>
      <w:proofErr w:type="spellStart"/>
      <w:r w:rsidRPr="00CA3225">
        <w:rPr>
          <w:rFonts w:ascii="Times New Roman" w:hAnsi="Times New Roman" w:cs="Times New Roman"/>
          <w:sz w:val="24"/>
          <w:szCs w:val="24"/>
        </w:rPr>
        <w:t>glandulosum</w:t>
      </w:r>
      <w:proofErr w:type="spellEnd"/>
      <w:r w:rsidRPr="00CA3225">
        <w:rPr>
          <w:rFonts w:ascii="Times New Roman" w:hAnsi="Times New Roman" w:cs="Times New Roman"/>
          <w:sz w:val="24"/>
          <w:szCs w:val="24"/>
        </w:rPr>
        <w:t xml:space="preserve"> sur des souches d’Escherichia coli d’origine aviaire résistantes aux antibiotiques d’utilisation courante en aviculture. Ces propriétés  ont été évaluées e n utilisant la technique usuelle de diffusion sur gélose  pour la détermination de la concentration minimale inhibitrice (CMI). Les résultats obtenus ont permis de mettre en évidence une  activité antibactérienne modérée  avec vis-à-vis de l’huile essentielle et des antibiotiques testés, en donnant les plus grands diamètres d’inhibition qui ont respectivement varié de 20 à 31mm. Les concentrations  minimales inhibitrices ont pris des valeurs variables allant de 0,06 % jusqu’à 0,25 %</w:t>
      </w:r>
      <w:r>
        <w:rPr>
          <w:rFonts w:ascii="Times New Roman" w:hAnsi="Times New Roman" w:cs="Times New Roman"/>
          <w:sz w:val="24"/>
          <w:szCs w:val="24"/>
        </w:rPr>
        <w:t xml:space="preserve">. </w:t>
      </w:r>
      <w:r w:rsidRPr="00CA3225">
        <w:rPr>
          <w:rFonts w:ascii="Times New Roman" w:hAnsi="Times New Roman" w:cs="Times New Roman"/>
          <w:sz w:val="24"/>
          <w:szCs w:val="24"/>
        </w:rPr>
        <w:t>L’effet antibactérien a été aussi testé contre d’autres bactéries  de référence (</w:t>
      </w:r>
      <w:proofErr w:type="spellStart"/>
      <w:r w:rsidRPr="00CA3225">
        <w:rPr>
          <w:rFonts w:ascii="Times New Roman" w:hAnsi="Times New Roman" w:cs="Times New Roman"/>
          <w:sz w:val="24"/>
          <w:szCs w:val="24"/>
        </w:rPr>
        <w:t>B.subtilis</w:t>
      </w:r>
      <w:proofErr w:type="spellEnd"/>
      <w:r w:rsidRPr="00CA3225">
        <w:rPr>
          <w:rFonts w:ascii="Times New Roman" w:hAnsi="Times New Roman" w:cs="Times New Roman"/>
          <w:sz w:val="24"/>
          <w:szCs w:val="24"/>
        </w:rPr>
        <w:t xml:space="preserve">, </w:t>
      </w:r>
      <w:proofErr w:type="spellStart"/>
      <w:r w:rsidRPr="00CA3225">
        <w:rPr>
          <w:rFonts w:ascii="Times New Roman" w:hAnsi="Times New Roman" w:cs="Times New Roman"/>
          <w:sz w:val="24"/>
          <w:szCs w:val="24"/>
        </w:rPr>
        <w:t>S.aureus</w:t>
      </w:r>
      <w:proofErr w:type="spellEnd"/>
      <w:r w:rsidRPr="00CA3225">
        <w:rPr>
          <w:rFonts w:ascii="Times New Roman" w:hAnsi="Times New Roman" w:cs="Times New Roman"/>
          <w:sz w:val="24"/>
          <w:szCs w:val="24"/>
        </w:rPr>
        <w:t xml:space="preserve">, </w:t>
      </w:r>
      <w:proofErr w:type="spellStart"/>
      <w:proofErr w:type="gramStart"/>
      <w:r w:rsidRPr="00CA3225">
        <w:rPr>
          <w:rFonts w:ascii="Times New Roman" w:hAnsi="Times New Roman" w:cs="Times New Roman"/>
          <w:sz w:val="24"/>
          <w:szCs w:val="24"/>
        </w:rPr>
        <w:t>P.aeruginosa</w:t>
      </w:r>
      <w:proofErr w:type="spellEnd"/>
      <w:r w:rsidRPr="00CA3225">
        <w:rPr>
          <w:rFonts w:ascii="Times New Roman" w:hAnsi="Times New Roman" w:cs="Times New Roman"/>
          <w:sz w:val="24"/>
          <w:szCs w:val="24"/>
        </w:rPr>
        <w:t xml:space="preserve"> )</w:t>
      </w:r>
      <w:proofErr w:type="gramEnd"/>
      <w:r w:rsidRPr="00CA3225">
        <w:rPr>
          <w:rFonts w:ascii="Times New Roman" w:hAnsi="Times New Roman" w:cs="Times New Roman"/>
          <w:sz w:val="24"/>
          <w:szCs w:val="24"/>
        </w:rPr>
        <w:t xml:space="preserve"> avec des résultats intéressants.</w:t>
      </w:r>
      <w:r>
        <w:rPr>
          <w:rFonts w:ascii="Times New Roman" w:hAnsi="Times New Roman" w:cs="Times New Roman"/>
          <w:sz w:val="24"/>
          <w:szCs w:val="24"/>
        </w:rPr>
        <w:t xml:space="preserve"> </w:t>
      </w:r>
      <w:r w:rsidRPr="00CA3225">
        <w:rPr>
          <w:rFonts w:ascii="Times New Roman" w:hAnsi="Times New Roman" w:cs="Times New Roman"/>
          <w:sz w:val="24"/>
          <w:szCs w:val="24"/>
        </w:rPr>
        <w:t>Ces résultats permettent de conclure que l’utilisation de l’huile essentielle d’origan  pourrait être une alternative efficace pour pallier aux résistances bactériennes sans cesse en évolution.</w:t>
      </w:r>
    </w:p>
    <w:p w:rsidR="00CA3225" w:rsidRPr="00CA3225" w:rsidRDefault="00CA3225" w:rsidP="00CA3225">
      <w:pPr>
        <w:rPr>
          <w:rFonts w:ascii="Times New Roman" w:hAnsi="Times New Roman" w:cs="Times New Roman"/>
          <w:sz w:val="24"/>
          <w:szCs w:val="24"/>
        </w:rPr>
      </w:pPr>
    </w:p>
    <w:p w:rsidR="00CA3225" w:rsidRPr="00CA3225" w:rsidRDefault="00CA3225" w:rsidP="00CA3225">
      <w:pPr>
        <w:rPr>
          <w:rFonts w:ascii="Times New Roman" w:hAnsi="Times New Roman" w:cs="Times New Roman"/>
          <w:b/>
          <w:sz w:val="24"/>
          <w:szCs w:val="24"/>
          <w:lang w:val="en-US"/>
        </w:rPr>
      </w:pPr>
      <w:r w:rsidRPr="00CA3225">
        <w:rPr>
          <w:rFonts w:ascii="Times New Roman" w:hAnsi="Times New Roman" w:cs="Times New Roman"/>
          <w:b/>
          <w:sz w:val="24"/>
          <w:szCs w:val="24"/>
          <w:lang w:val="en-US"/>
        </w:rPr>
        <w:t>Abstract:</w:t>
      </w:r>
    </w:p>
    <w:p w:rsidR="00995312" w:rsidRPr="00CA3225" w:rsidRDefault="00CA3225" w:rsidP="00CA3225">
      <w:pPr>
        <w:jc w:val="both"/>
        <w:rPr>
          <w:rFonts w:ascii="Times New Roman" w:hAnsi="Times New Roman" w:cs="Times New Roman"/>
          <w:sz w:val="24"/>
          <w:szCs w:val="24"/>
          <w:lang w:val="en-US"/>
        </w:rPr>
      </w:pPr>
      <w:r w:rsidRPr="00CA3225">
        <w:rPr>
          <w:rFonts w:ascii="Times New Roman" w:hAnsi="Times New Roman" w:cs="Times New Roman"/>
          <w:sz w:val="24"/>
          <w:szCs w:val="24"/>
          <w:lang w:val="en-US"/>
        </w:rPr>
        <w:t xml:space="preserve">Bacterial resistance to antibiotics and the search for new alternatives to antibiotics are of great importance in human and animal health. The main objective of this study was to evaluate the antibacterial properties of </w:t>
      </w:r>
      <w:proofErr w:type="spellStart"/>
      <w:r w:rsidRPr="00CA3225">
        <w:rPr>
          <w:rFonts w:ascii="Times New Roman" w:hAnsi="Times New Roman" w:cs="Times New Roman"/>
          <w:sz w:val="24"/>
          <w:szCs w:val="24"/>
          <w:lang w:val="en-US"/>
        </w:rPr>
        <w:t>Origanum</w:t>
      </w:r>
      <w:proofErr w:type="spellEnd"/>
      <w:r w:rsidRPr="00CA3225">
        <w:rPr>
          <w:rFonts w:ascii="Times New Roman" w:hAnsi="Times New Roman" w:cs="Times New Roman"/>
          <w:sz w:val="24"/>
          <w:szCs w:val="24"/>
          <w:lang w:val="en-US"/>
        </w:rPr>
        <w:t xml:space="preserve"> </w:t>
      </w:r>
      <w:proofErr w:type="spellStart"/>
      <w:r w:rsidRPr="00CA3225">
        <w:rPr>
          <w:rFonts w:ascii="Times New Roman" w:hAnsi="Times New Roman" w:cs="Times New Roman"/>
          <w:sz w:val="24"/>
          <w:szCs w:val="24"/>
          <w:lang w:val="en-US"/>
        </w:rPr>
        <w:t>glandulosum</w:t>
      </w:r>
      <w:proofErr w:type="spellEnd"/>
      <w:r w:rsidRPr="00CA3225">
        <w:rPr>
          <w:rFonts w:ascii="Times New Roman" w:hAnsi="Times New Roman" w:cs="Times New Roman"/>
          <w:sz w:val="24"/>
          <w:szCs w:val="24"/>
          <w:lang w:val="en-US"/>
        </w:rPr>
        <w:t xml:space="preserve"> essential oil on avian resistant Escherichia coli strains resistant to antibiotics commonly used in poultry farming. These properties were evaluated using the usual agar diffusion technique for the determination of the minimum inhibitory concentration (MIC). The results obtained made it possible to demonstrate a moderate antibacterial activity with respect to the essential oil and antibiotics tested, giving the largest inhibition diameters which respectively varied from 20 to 31 mm. Minimum inhibitory concentrations ranged from 0.06% to 0.25%</w:t>
      </w:r>
      <w:r>
        <w:rPr>
          <w:rFonts w:ascii="Times New Roman" w:hAnsi="Times New Roman" w:cs="Times New Roman"/>
          <w:sz w:val="24"/>
          <w:szCs w:val="24"/>
          <w:lang w:val="en-US"/>
        </w:rPr>
        <w:t xml:space="preserve">. </w:t>
      </w:r>
      <w:r w:rsidRPr="00CA3225">
        <w:rPr>
          <w:rFonts w:ascii="Times New Roman" w:hAnsi="Times New Roman" w:cs="Times New Roman"/>
          <w:sz w:val="24"/>
          <w:szCs w:val="24"/>
          <w:lang w:val="en-US"/>
        </w:rPr>
        <w:t>The antibacterial effect was also tested against other reference bacteria (</w:t>
      </w:r>
      <w:proofErr w:type="spellStart"/>
      <w:r w:rsidRPr="00CA3225">
        <w:rPr>
          <w:rFonts w:ascii="Times New Roman" w:hAnsi="Times New Roman" w:cs="Times New Roman"/>
          <w:sz w:val="24"/>
          <w:szCs w:val="24"/>
          <w:lang w:val="en-US"/>
        </w:rPr>
        <w:t>B.subtilis</w:t>
      </w:r>
      <w:proofErr w:type="spellEnd"/>
      <w:r w:rsidRPr="00CA3225">
        <w:rPr>
          <w:rFonts w:ascii="Times New Roman" w:hAnsi="Times New Roman" w:cs="Times New Roman"/>
          <w:sz w:val="24"/>
          <w:szCs w:val="24"/>
          <w:lang w:val="en-US"/>
        </w:rPr>
        <w:t xml:space="preserve">, </w:t>
      </w:r>
      <w:proofErr w:type="spellStart"/>
      <w:r w:rsidRPr="00CA3225">
        <w:rPr>
          <w:rFonts w:ascii="Times New Roman" w:hAnsi="Times New Roman" w:cs="Times New Roman"/>
          <w:sz w:val="24"/>
          <w:szCs w:val="24"/>
          <w:lang w:val="en-US"/>
        </w:rPr>
        <w:t>S.aureus</w:t>
      </w:r>
      <w:proofErr w:type="spellEnd"/>
      <w:r w:rsidRPr="00CA3225">
        <w:rPr>
          <w:rFonts w:ascii="Times New Roman" w:hAnsi="Times New Roman" w:cs="Times New Roman"/>
          <w:sz w:val="24"/>
          <w:szCs w:val="24"/>
          <w:lang w:val="en-US"/>
        </w:rPr>
        <w:t xml:space="preserve">, </w:t>
      </w:r>
      <w:proofErr w:type="spellStart"/>
      <w:r w:rsidRPr="00CA3225">
        <w:rPr>
          <w:rFonts w:ascii="Times New Roman" w:hAnsi="Times New Roman" w:cs="Times New Roman"/>
          <w:sz w:val="24"/>
          <w:szCs w:val="24"/>
          <w:lang w:val="en-US"/>
        </w:rPr>
        <w:t>P.aeruginosa</w:t>
      </w:r>
      <w:proofErr w:type="spellEnd"/>
      <w:r w:rsidRPr="00CA3225">
        <w:rPr>
          <w:rFonts w:ascii="Times New Roman" w:hAnsi="Times New Roman" w:cs="Times New Roman"/>
          <w:sz w:val="24"/>
          <w:szCs w:val="24"/>
          <w:lang w:val="en-US"/>
        </w:rPr>
        <w:t>) with interesting results.</w:t>
      </w:r>
      <w:r w:rsidR="003D758C">
        <w:rPr>
          <w:rFonts w:ascii="Times New Roman" w:hAnsi="Times New Roman" w:cs="Times New Roman"/>
          <w:sz w:val="24"/>
          <w:szCs w:val="24"/>
          <w:lang w:val="en-US"/>
        </w:rPr>
        <w:t xml:space="preserve"> </w:t>
      </w:r>
      <w:r w:rsidRPr="00CA3225">
        <w:rPr>
          <w:rFonts w:ascii="Times New Roman" w:hAnsi="Times New Roman" w:cs="Times New Roman"/>
          <w:sz w:val="24"/>
          <w:szCs w:val="24"/>
          <w:lang w:val="en-US"/>
        </w:rPr>
        <w:t xml:space="preserve">These results lead to the conclusion that the use of Oregano essential oil could be an effective alternative to overcome the constantly </w:t>
      </w:r>
      <w:proofErr w:type="spellStart"/>
      <w:r w:rsidRPr="00CA3225">
        <w:rPr>
          <w:rFonts w:ascii="Times New Roman" w:hAnsi="Times New Roman" w:cs="Times New Roman"/>
          <w:sz w:val="24"/>
          <w:szCs w:val="24"/>
          <w:lang w:val="en-US"/>
        </w:rPr>
        <w:t>evolving</w:t>
      </w:r>
      <w:proofErr w:type="spellEnd"/>
      <w:r w:rsidRPr="00CA3225">
        <w:rPr>
          <w:rFonts w:ascii="Times New Roman" w:hAnsi="Times New Roman" w:cs="Times New Roman"/>
          <w:sz w:val="24"/>
          <w:szCs w:val="24"/>
          <w:lang w:val="en-US"/>
        </w:rPr>
        <w:t xml:space="preserve"> bacterial resistance.</w:t>
      </w:r>
    </w:p>
    <w:sectPr w:rsidR="00995312" w:rsidRPr="00CA3225" w:rsidSect="009953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3D758C"/>
    <w:rsid w:val="00995312"/>
    <w:rsid w:val="00CA32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403</Words>
  <Characters>2219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cp:revision>
  <dcterms:created xsi:type="dcterms:W3CDTF">2020-01-19T08:54:00Z</dcterms:created>
  <dcterms:modified xsi:type="dcterms:W3CDTF">2020-01-19T09:05:00Z</dcterms:modified>
</cp:coreProperties>
</file>