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8D" w:rsidRDefault="001B3597" w:rsidP="001821E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1821E0" w:rsidRPr="001821E0">
        <w:rPr>
          <w:rFonts w:ascii="Times New Roman" w:hAnsi="Times New Roman" w:cs="Times New Roman"/>
          <w:b/>
          <w:bCs/>
          <w:sz w:val="28"/>
          <w:szCs w:val="28"/>
        </w:rPr>
        <w:t>Recherche d'œufs de trématodes chez les ovins dans quelques élevages de la région de Rouïba et Boumerdes</w:t>
      </w:r>
    </w:p>
    <w:p w:rsidR="00591C3B" w:rsidRDefault="00591C3B" w:rsidP="00591C3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821E0" w:rsidRDefault="001821E0" w:rsidP="001821E0">
      <w:pPr>
        <w:jc w:val="both"/>
        <w:rPr>
          <w:rFonts w:asciiTheme="majorBidi" w:hAnsiTheme="majorBidi" w:cstheme="majorBidi"/>
          <w:sz w:val="24"/>
          <w:szCs w:val="24"/>
        </w:rPr>
      </w:pPr>
      <w:r w:rsidRPr="001821E0">
        <w:rPr>
          <w:rFonts w:asciiTheme="majorBidi" w:hAnsiTheme="majorBidi" w:cstheme="majorBidi"/>
          <w:sz w:val="24"/>
          <w:szCs w:val="24"/>
        </w:rPr>
        <w:t xml:space="preserve">Le parasitisme du aux trématodes constitue l'un des obstacles majeurs au développement de l'élevage des ovins, car il est à l'origine de contraintes à la production liées à des pertes de poids et à des retards de croissance et même à des cas de mortalité. En Algérie, aucune publication n'en est disponible à ce jour. Dans la période allant de juin 2016 à Mai 2017, une étude a été menée, ayant pour objectif d'évaluer la prévalence des principaux trématodes gastro-intestinaux des ovins dans quelques élevages situés dans les environs d'Alger. Au cours de la quelle, 109 prélèvements de fèces d'ovins ont été effectués et analysés au laboratoire de parasitologie de l'ENSV par la technique d'enrichissement par flottaison. A l'issue, les résultats montrent une prévalence globale de 6,4%. Les trématodes identifiés sont </w:t>
      </w:r>
      <w:proofErr w:type="spellStart"/>
      <w:r w:rsidRPr="001821E0">
        <w:rPr>
          <w:rFonts w:asciiTheme="majorBidi" w:hAnsiTheme="majorBidi" w:cstheme="majorBidi"/>
          <w:sz w:val="24"/>
          <w:szCs w:val="24"/>
        </w:rPr>
        <w:t>Fasciola</w:t>
      </w:r>
      <w:proofErr w:type="spellEnd"/>
      <w:r w:rsidRPr="001821E0">
        <w:rPr>
          <w:rFonts w:asciiTheme="majorBidi" w:hAnsiTheme="majorBidi" w:cstheme="majorBidi"/>
          <w:sz w:val="24"/>
          <w:szCs w:val="24"/>
        </w:rPr>
        <w:t xml:space="preserve">, </w:t>
      </w:r>
      <w:proofErr w:type="spellStart"/>
      <w:r w:rsidRPr="001821E0">
        <w:rPr>
          <w:rFonts w:asciiTheme="majorBidi" w:hAnsiTheme="majorBidi" w:cstheme="majorBidi"/>
          <w:sz w:val="24"/>
          <w:szCs w:val="24"/>
        </w:rPr>
        <w:t>Paramphistomum</w:t>
      </w:r>
      <w:proofErr w:type="spellEnd"/>
      <w:r w:rsidRPr="001821E0">
        <w:rPr>
          <w:rFonts w:asciiTheme="majorBidi" w:hAnsiTheme="majorBidi" w:cstheme="majorBidi"/>
          <w:sz w:val="24"/>
          <w:szCs w:val="24"/>
        </w:rPr>
        <w:t xml:space="preserve"> et </w:t>
      </w:r>
      <w:proofErr w:type="spellStart"/>
      <w:r w:rsidRPr="001821E0">
        <w:rPr>
          <w:rFonts w:asciiTheme="majorBidi" w:hAnsiTheme="majorBidi" w:cstheme="majorBidi"/>
          <w:sz w:val="24"/>
          <w:szCs w:val="24"/>
        </w:rPr>
        <w:t>Dicrocelium</w:t>
      </w:r>
      <w:proofErr w:type="spellEnd"/>
      <w:r w:rsidRPr="001821E0">
        <w:rPr>
          <w:rFonts w:asciiTheme="majorBidi" w:hAnsiTheme="majorBidi" w:cstheme="majorBidi"/>
          <w:sz w:val="24"/>
          <w:szCs w:val="24"/>
        </w:rPr>
        <w:t xml:space="preserve"> avec des prévalences de (2,75%), (2,75 %) et (0,9%), respectivement. D'autres parasites gastro-intestinaux ont été identifiés ; les nématodes (77,9%), les cestodes </w:t>
      </w:r>
      <w:proofErr w:type="gramStart"/>
      <w:r w:rsidRPr="001821E0">
        <w:rPr>
          <w:rFonts w:asciiTheme="majorBidi" w:hAnsiTheme="majorBidi" w:cstheme="majorBidi"/>
          <w:sz w:val="24"/>
          <w:szCs w:val="24"/>
        </w:rPr>
        <w:t>( 7,33</w:t>
      </w:r>
      <w:proofErr w:type="gramEnd"/>
      <w:r w:rsidRPr="001821E0">
        <w:rPr>
          <w:rFonts w:asciiTheme="majorBidi" w:hAnsiTheme="majorBidi" w:cstheme="majorBidi"/>
          <w:sz w:val="24"/>
          <w:szCs w:val="24"/>
        </w:rPr>
        <w:t xml:space="preserve">%)et les coccidies( 50,46%). L'étude a révélé des cas de </w:t>
      </w:r>
      <w:proofErr w:type="spellStart"/>
      <w:r w:rsidRPr="001821E0">
        <w:rPr>
          <w:rFonts w:asciiTheme="majorBidi" w:hAnsiTheme="majorBidi" w:cstheme="majorBidi"/>
          <w:sz w:val="24"/>
          <w:szCs w:val="24"/>
        </w:rPr>
        <w:t>polyparasitisme</w:t>
      </w:r>
      <w:proofErr w:type="spellEnd"/>
      <w:r w:rsidRPr="001821E0">
        <w:rPr>
          <w:rFonts w:asciiTheme="majorBidi" w:hAnsiTheme="majorBidi" w:cstheme="majorBidi"/>
          <w:sz w:val="24"/>
          <w:szCs w:val="24"/>
        </w:rPr>
        <w:t xml:space="preserve"> pouvant héberger à la fois plusieurs classes de parasites. Par ailleurs, l'âge semble être un facteur influençant la prévalence des trématodes. En effet, les jeunes moins d'un an sont les plus vulnérables. En outre, le sexe, le mode d'élevage et la zone sont probablement des facteurs de risque. Cette étude montre qu'en dépit de faible taux d'infestation retrouvé des trématodes, le </w:t>
      </w:r>
      <w:proofErr w:type="spellStart"/>
      <w:r w:rsidRPr="001821E0">
        <w:rPr>
          <w:rFonts w:asciiTheme="majorBidi" w:hAnsiTheme="majorBidi" w:cstheme="majorBidi"/>
          <w:sz w:val="24"/>
          <w:szCs w:val="24"/>
        </w:rPr>
        <w:t>polyparasitisme</w:t>
      </w:r>
      <w:proofErr w:type="spellEnd"/>
      <w:r w:rsidRPr="001821E0">
        <w:rPr>
          <w:rFonts w:asciiTheme="majorBidi" w:hAnsiTheme="majorBidi" w:cstheme="majorBidi"/>
          <w:sz w:val="24"/>
          <w:szCs w:val="24"/>
        </w:rPr>
        <w:t xml:space="preserve"> gastro-intestinal est important chez l'espèce ovine.</w:t>
      </w:r>
    </w:p>
    <w:p w:rsidR="001821E0" w:rsidRPr="001821E0" w:rsidRDefault="001821E0" w:rsidP="001821E0">
      <w:pPr>
        <w:jc w:val="both"/>
        <w:rPr>
          <w:rFonts w:asciiTheme="majorBidi" w:hAnsiTheme="majorBidi" w:cstheme="majorBidi"/>
          <w:sz w:val="24"/>
          <w:szCs w:val="24"/>
        </w:rPr>
      </w:pPr>
    </w:p>
    <w:p w:rsidR="001821E0" w:rsidRPr="001821E0" w:rsidRDefault="001821E0" w:rsidP="001821E0">
      <w:pPr>
        <w:jc w:val="both"/>
        <w:rPr>
          <w:rFonts w:asciiTheme="majorBidi" w:hAnsiTheme="majorBidi" w:cstheme="majorBidi"/>
          <w:b/>
          <w:bCs/>
          <w:sz w:val="24"/>
          <w:szCs w:val="24"/>
        </w:rPr>
      </w:pPr>
      <w:r w:rsidRPr="001821E0">
        <w:rPr>
          <w:rFonts w:asciiTheme="majorBidi" w:hAnsiTheme="majorBidi" w:cstheme="majorBidi"/>
          <w:b/>
          <w:bCs/>
          <w:sz w:val="24"/>
          <w:szCs w:val="24"/>
        </w:rPr>
        <w:t>Abstract :</w:t>
      </w:r>
    </w:p>
    <w:p w:rsidR="00014BDB" w:rsidRPr="001821E0" w:rsidRDefault="001821E0" w:rsidP="001821E0">
      <w:pPr>
        <w:jc w:val="both"/>
        <w:rPr>
          <w:rFonts w:asciiTheme="majorBidi" w:hAnsiTheme="majorBidi" w:cstheme="majorBidi"/>
          <w:sz w:val="24"/>
          <w:szCs w:val="24"/>
          <w:lang w:val="en-US"/>
        </w:rPr>
      </w:pPr>
      <w:r w:rsidRPr="001821E0">
        <w:rPr>
          <w:rFonts w:asciiTheme="majorBidi" w:hAnsiTheme="majorBidi" w:cstheme="majorBidi"/>
          <w:sz w:val="24"/>
          <w:szCs w:val="24"/>
          <w:lang w:val="en-US"/>
        </w:rPr>
        <w:t xml:space="preserve">Parasitism of the </w:t>
      </w:r>
      <w:proofErr w:type="spellStart"/>
      <w:r w:rsidRPr="001821E0">
        <w:rPr>
          <w:rFonts w:asciiTheme="majorBidi" w:hAnsiTheme="majorBidi" w:cstheme="majorBidi"/>
          <w:sz w:val="24"/>
          <w:szCs w:val="24"/>
          <w:lang w:val="en-US"/>
        </w:rPr>
        <w:t>trematodes</w:t>
      </w:r>
      <w:proofErr w:type="spellEnd"/>
      <w:r w:rsidRPr="001821E0">
        <w:rPr>
          <w:rFonts w:asciiTheme="majorBidi" w:hAnsiTheme="majorBidi" w:cstheme="majorBidi"/>
          <w:sz w:val="24"/>
          <w:szCs w:val="24"/>
          <w:lang w:val="en-US"/>
        </w:rPr>
        <w:t xml:space="preserve"> constitutes one of the major obstacles to the development of sheep breeding because it causes production constraints linked to weight loss and growth retardation and even to cases </w:t>
      </w:r>
      <w:proofErr w:type="gramStart"/>
      <w:r w:rsidRPr="001821E0">
        <w:rPr>
          <w:rFonts w:asciiTheme="majorBidi" w:hAnsiTheme="majorBidi" w:cstheme="majorBidi"/>
          <w:sz w:val="24"/>
          <w:szCs w:val="24"/>
          <w:lang w:val="en-US"/>
        </w:rPr>
        <w:t>Of</w:t>
      </w:r>
      <w:proofErr w:type="gramEnd"/>
      <w:r w:rsidRPr="001821E0">
        <w:rPr>
          <w:rFonts w:asciiTheme="majorBidi" w:hAnsiTheme="majorBidi" w:cstheme="majorBidi"/>
          <w:sz w:val="24"/>
          <w:szCs w:val="24"/>
          <w:lang w:val="en-US"/>
        </w:rPr>
        <w:t xml:space="preserve"> mortality. In Algeria, no publication is available to date. In the period from June 2016 to May 2017, a study was carried out to evaluate the prevalence of the main gastrointestinal </w:t>
      </w:r>
      <w:proofErr w:type="spellStart"/>
      <w:r w:rsidRPr="001821E0">
        <w:rPr>
          <w:rFonts w:asciiTheme="majorBidi" w:hAnsiTheme="majorBidi" w:cstheme="majorBidi"/>
          <w:sz w:val="24"/>
          <w:szCs w:val="24"/>
          <w:lang w:val="en-US"/>
        </w:rPr>
        <w:t>trematodes</w:t>
      </w:r>
      <w:proofErr w:type="spellEnd"/>
      <w:r w:rsidRPr="001821E0">
        <w:rPr>
          <w:rFonts w:asciiTheme="majorBidi" w:hAnsiTheme="majorBidi" w:cstheme="majorBidi"/>
          <w:sz w:val="24"/>
          <w:szCs w:val="24"/>
          <w:lang w:val="en-US"/>
        </w:rPr>
        <w:t xml:space="preserve"> of sheep in a number of farms around Algiers. During which 109 samples of sheep's feces were taken and analyzed in the laboratory of </w:t>
      </w:r>
      <w:proofErr w:type="spellStart"/>
      <w:r w:rsidRPr="001821E0">
        <w:rPr>
          <w:rFonts w:asciiTheme="majorBidi" w:hAnsiTheme="majorBidi" w:cstheme="majorBidi"/>
          <w:sz w:val="24"/>
          <w:szCs w:val="24"/>
          <w:lang w:val="en-US"/>
        </w:rPr>
        <w:t>parasitology</w:t>
      </w:r>
      <w:proofErr w:type="spellEnd"/>
      <w:r w:rsidRPr="001821E0">
        <w:rPr>
          <w:rFonts w:asciiTheme="majorBidi" w:hAnsiTheme="majorBidi" w:cstheme="majorBidi"/>
          <w:sz w:val="24"/>
          <w:szCs w:val="24"/>
          <w:lang w:val="en-US"/>
        </w:rPr>
        <w:t xml:space="preserve"> of the ENSV by the technique of enrichment by flotation. At the end, the results show an overall prevalence of 6.4%. The </w:t>
      </w:r>
      <w:proofErr w:type="spellStart"/>
      <w:r w:rsidRPr="001821E0">
        <w:rPr>
          <w:rFonts w:asciiTheme="majorBidi" w:hAnsiTheme="majorBidi" w:cstheme="majorBidi"/>
          <w:sz w:val="24"/>
          <w:szCs w:val="24"/>
          <w:lang w:val="en-US"/>
        </w:rPr>
        <w:t>trematodes</w:t>
      </w:r>
      <w:proofErr w:type="spellEnd"/>
      <w:r w:rsidRPr="001821E0">
        <w:rPr>
          <w:rFonts w:asciiTheme="majorBidi" w:hAnsiTheme="majorBidi" w:cstheme="majorBidi"/>
          <w:sz w:val="24"/>
          <w:szCs w:val="24"/>
          <w:lang w:val="en-US"/>
        </w:rPr>
        <w:t xml:space="preserve"> identified were </w:t>
      </w:r>
      <w:proofErr w:type="spellStart"/>
      <w:r w:rsidRPr="001821E0">
        <w:rPr>
          <w:rFonts w:asciiTheme="majorBidi" w:hAnsiTheme="majorBidi" w:cstheme="majorBidi"/>
          <w:sz w:val="24"/>
          <w:szCs w:val="24"/>
          <w:lang w:val="en-US"/>
        </w:rPr>
        <w:t>Fasciola</w:t>
      </w:r>
      <w:proofErr w:type="spellEnd"/>
      <w:r w:rsidRPr="001821E0">
        <w:rPr>
          <w:rFonts w:asciiTheme="majorBidi" w:hAnsiTheme="majorBidi" w:cstheme="majorBidi"/>
          <w:sz w:val="24"/>
          <w:szCs w:val="24"/>
          <w:lang w:val="en-US"/>
        </w:rPr>
        <w:t xml:space="preserve">, </w:t>
      </w:r>
      <w:proofErr w:type="spellStart"/>
      <w:r w:rsidRPr="001821E0">
        <w:rPr>
          <w:rFonts w:asciiTheme="majorBidi" w:hAnsiTheme="majorBidi" w:cstheme="majorBidi"/>
          <w:sz w:val="24"/>
          <w:szCs w:val="24"/>
          <w:lang w:val="en-US"/>
        </w:rPr>
        <w:t>Paramphistomum</w:t>
      </w:r>
      <w:proofErr w:type="spellEnd"/>
      <w:r w:rsidRPr="001821E0">
        <w:rPr>
          <w:rFonts w:asciiTheme="majorBidi" w:hAnsiTheme="majorBidi" w:cstheme="majorBidi"/>
          <w:sz w:val="24"/>
          <w:szCs w:val="24"/>
          <w:lang w:val="en-US"/>
        </w:rPr>
        <w:t xml:space="preserve"> and </w:t>
      </w:r>
      <w:proofErr w:type="spellStart"/>
      <w:r w:rsidRPr="001821E0">
        <w:rPr>
          <w:rFonts w:asciiTheme="majorBidi" w:hAnsiTheme="majorBidi" w:cstheme="majorBidi"/>
          <w:sz w:val="24"/>
          <w:szCs w:val="24"/>
          <w:lang w:val="en-US"/>
        </w:rPr>
        <w:t>Dicrocelium</w:t>
      </w:r>
      <w:proofErr w:type="spellEnd"/>
      <w:r w:rsidRPr="001821E0">
        <w:rPr>
          <w:rFonts w:asciiTheme="majorBidi" w:hAnsiTheme="majorBidi" w:cstheme="majorBidi"/>
          <w:sz w:val="24"/>
          <w:szCs w:val="24"/>
          <w:lang w:val="en-US"/>
        </w:rPr>
        <w:t xml:space="preserve"> with </w:t>
      </w:r>
      <w:proofErr w:type="spellStart"/>
      <w:r w:rsidRPr="001821E0">
        <w:rPr>
          <w:rFonts w:asciiTheme="majorBidi" w:hAnsiTheme="majorBidi" w:cstheme="majorBidi"/>
          <w:sz w:val="24"/>
          <w:szCs w:val="24"/>
          <w:lang w:val="en-US"/>
        </w:rPr>
        <w:t>prevalences</w:t>
      </w:r>
      <w:proofErr w:type="spellEnd"/>
      <w:r w:rsidRPr="001821E0">
        <w:rPr>
          <w:rFonts w:asciiTheme="majorBidi" w:hAnsiTheme="majorBidi" w:cstheme="majorBidi"/>
          <w:sz w:val="24"/>
          <w:szCs w:val="24"/>
          <w:lang w:val="en-US"/>
        </w:rPr>
        <w:t xml:space="preserve"> of (2.75%), (2.75%) and (0.9%), respectively. Other gastrointestinal parasites have been identified; Nematodes (77</w:t>
      </w:r>
      <w:proofErr w:type="gramStart"/>
      <w:r w:rsidRPr="001821E0">
        <w:rPr>
          <w:rFonts w:asciiTheme="majorBidi" w:hAnsiTheme="majorBidi" w:cstheme="majorBidi"/>
          <w:sz w:val="24"/>
          <w:szCs w:val="24"/>
          <w:lang w:val="en-US"/>
        </w:rPr>
        <w:t>,9</w:t>
      </w:r>
      <w:proofErr w:type="gramEnd"/>
      <w:r w:rsidRPr="001821E0">
        <w:rPr>
          <w:rFonts w:asciiTheme="majorBidi" w:hAnsiTheme="majorBidi" w:cstheme="majorBidi"/>
          <w:sz w:val="24"/>
          <w:szCs w:val="24"/>
          <w:lang w:val="en-US"/>
        </w:rPr>
        <w:t xml:space="preserve">%), </w:t>
      </w:r>
      <w:proofErr w:type="spellStart"/>
      <w:r w:rsidRPr="001821E0">
        <w:rPr>
          <w:rFonts w:asciiTheme="majorBidi" w:hAnsiTheme="majorBidi" w:cstheme="majorBidi"/>
          <w:sz w:val="24"/>
          <w:szCs w:val="24"/>
          <w:lang w:val="en-US"/>
        </w:rPr>
        <w:t>cestodes</w:t>
      </w:r>
      <w:proofErr w:type="spellEnd"/>
      <w:r w:rsidRPr="001821E0">
        <w:rPr>
          <w:rFonts w:asciiTheme="majorBidi" w:hAnsiTheme="majorBidi" w:cstheme="majorBidi"/>
          <w:sz w:val="24"/>
          <w:szCs w:val="24"/>
          <w:lang w:val="en-US"/>
        </w:rPr>
        <w:t xml:space="preserve"> (7.33%) and </w:t>
      </w:r>
      <w:proofErr w:type="spellStart"/>
      <w:r w:rsidRPr="001821E0">
        <w:rPr>
          <w:rFonts w:asciiTheme="majorBidi" w:hAnsiTheme="majorBidi" w:cstheme="majorBidi"/>
          <w:sz w:val="24"/>
          <w:szCs w:val="24"/>
          <w:lang w:val="en-US"/>
        </w:rPr>
        <w:t>coccidia</w:t>
      </w:r>
      <w:proofErr w:type="spellEnd"/>
      <w:r w:rsidRPr="001821E0">
        <w:rPr>
          <w:rFonts w:asciiTheme="majorBidi" w:hAnsiTheme="majorBidi" w:cstheme="majorBidi"/>
          <w:sz w:val="24"/>
          <w:szCs w:val="24"/>
          <w:lang w:val="en-US"/>
        </w:rPr>
        <w:t xml:space="preserve"> (50.46%). The study revealed cases of </w:t>
      </w:r>
      <w:proofErr w:type="spellStart"/>
      <w:r w:rsidRPr="001821E0">
        <w:rPr>
          <w:rFonts w:asciiTheme="majorBidi" w:hAnsiTheme="majorBidi" w:cstheme="majorBidi"/>
          <w:sz w:val="24"/>
          <w:szCs w:val="24"/>
          <w:lang w:val="en-US"/>
        </w:rPr>
        <w:t>polyparasitism</w:t>
      </w:r>
      <w:proofErr w:type="spellEnd"/>
      <w:r w:rsidRPr="001821E0">
        <w:rPr>
          <w:rFonts w:asciiTheme="majorBidi" w:hAnsiTheme="majorBidi" w:cstheme="majorBidi"/>
          <w:sz w:val="24"/>
          <w:szCs w:val="24"/>
          <w:lang w:val="en-US"/>
        </w:rPr>
        <w:t xml:space="preserve"> that could harbor several classes of parasites at the same time. Moreover, age seems to be a factor influencing the prevalence of </w:t>
      </w:r>
      <w:proofErr w:type="spellStart"/>
      <w:r w:rsidRPr="001821E0">
        <w:rPr>
          <w:rFonts w:asciiTheme="majorBidi" w:hAnsiTheme="majorBidi" w:cstheme="majorBidi"/>
          <w:sz w:val="24"/>
          <w:szCs w:val="24"/>
          <w:lang w:val="en-US"/>
        </w:rPr>
        <w:t>trematodes</w:t>
      </w:r>
      <w:proofErr w:type="spellEnd"/>
      <w:r w:rsidRPr="001821E0">
        <w:rPr>
          <w:rFonts w:asciiTheme="majorBidi" w:hAnsiTheme="majorBidi" w:cstheme="majorBidi"/>
          <w:sz w:val="24"/>
          <w:szCs w:val="24"/>
          <w:lang w:val="en-US"/>
        </w:rPr>
        <w:t xml:space="preserve">. Young people under one year of age are the most vulnerable. In addition, gender, livestock mode and area are likely risk factors. This study shows that despite a low infestation rate of </w:t>
      </w:r>
      <w:proofErr w:type="spellStart"/>
      <w:r w:rsidRPr="001821E0">
        <w:rPr>
          <w:rFonts w:asciiTheme="majorBidi" w:hAnsiTheme="majorBidi" w:cstheme="majorBidi"/>
          <w:sz w:val="24"/>
          <w:szCs w:val="24"/>
          <w:lang w:val="en-US"/>
        </w:rPr>
        <w:t>trematodes</w:t>
      </w:r>
      <w:proofErr w:type="spellEnd"/>
      <w:r w:rsidRPr="001821E0">
        <w:rPr>
          <w:rFonts w:asciiTheme="majorBidi" w:hAnsiTheme="majorBidi" w:cstheme="majorBidi"/>
          <w:sz w:val="24"/>
          <w:szCs w:val="24"/>
          <w:lang w:val="en-US"/>
        </w:rPr>
        <w:t xml:space="preserve">, gastrointestinal </w:t>
      </w:r>
      <w:proofErr w:type="spellStart"/>
      <w:r w:rsidRPr="001821E0">
        <w:rPr>
          <w:rFonts w:asciiTheme="majorBidi" w:hAnsiTheme="majorBidi" w:cstheme="majorBidi"/>
          <w:sz w:val="24"/>
          <w:szCs w:val="24"/>
          <w:lang w:val="en-US"/>
        </w:rPr>
        <w:t>polyparasitism</w:t>
      </w:r>
      <w:proofErr w:type="spellEnd"/>
      <w:r w:rsidRPr="001821E0">
        <w:rPr>
          <w:rFonts w:asciiTheme="majorBidi" w:hAnsiTheme="majorBidi" w:cstheme="majorBidi"/>
          <w:sz w:val="24"/>
          <w:szCs w:val="24"/>
          <w:lang w:val="en-US"/>
        </w:rPr>
        <w:t xml:space="preserve"> is important in the ovine species.</w:t>
      </w:r>
    </w:p>
    <w:sectPr w:rsidR="00014BDB" w:rsidRPr="001821E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Pages>
  <Words>473</Words>
  <Characters>2606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456</cp:revision>
  <dcterms:created xsi:type="dcterms:W3CDTF">2019-12-10T12:38:00Z</dcterms:created>
  <dcterms:modified xsi:type="dcterms:W3CDTF">2020-01-23T12:06:00Z</dcterms:modified>
</cp:coreProperties>
</file>