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524C8" w:rsidRDefault="0038268C" w:rsidP="00C1536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C15369" w:rsidRPr="00C15369">
        <w:rPr>
          <w:rFonts w:asciiTheme="majorBidi" w:hAnsiTheme="majorBidi" w:cstheme="majorBidi"/>
          <w:b/>
          <w:bCs/>
          <w:sz w:val="28"/>
          <w:szCs w:val="28"/>
        </w:rPr>
        <w:t xml:space="preserve">Séroprévalence à </w:t>
      </w:r>
      <w:proofErr w:type="spellStart"/>
      <w:r w:rsidR="00C15369" w:rsidRPr="00C15369">
        <w:rPr>
          <w:rFonts w:asciiTheme="majorBidi" w:hAnsiTheme="majorBidi" w:cstheme="majorBidi"/>
          <w:b/>
          <w:bCs/>
          <w:sz w:val="28"/>
          <w:szCs w:val="28"/>
        </w:rPr>
        <w:t>borrelia</w:t>
      </w:r>
      <w:proofErr w:type="spellEnd"/>
      <w:r w:rsidR="00C15369" w:rsidRPr="00C15369">
        <w:rPr>
          <w:rFonts w:asciiTheme="majorBidi" w:hAnsiTheme="majorBidi" w:cstheme="majorBidi"/>
          <w:b/>
          <w:bCs/>
          <w:sz w:val="28"/>
          <w:szCs w:val="28"/>
        </w:rPr>
        <w:t xml:space="preserve"> </w:t>
      </w:r>
      <w:proofErr w:type="spellStart"/>
      <w:r w:rsidR="00C15369" w:rsidRPr="00C15369">
        <w:rPr>
          <w:rFonts w:asciiTheme="majorBidi" w:hAnsiTheme="majorBidi" w:cstheme="majorBidi"/>
          <w:b/>
          <w:bCs/>
          <w:sz w:val="28"/>
          <w:szCs w:val="28"/>
        </w:rPr>
        <w:t>burgdorferi</w:t>
      </w:r>
      <w:proofErr w:type="spellEnd"/>
      <w:r w:rsidR="00C15369" w:rsidRPr="00C15369">
        <w:rPr>
          <w:rFonts w:asciiTheme="majorBidi" w:hAnsiTheme="majorBidi" w:cstheme="majorBidi"/>
          <w:b/>
          <w:bCs/>
          <w:sz w:val="28"/>
          <w:szCs w:val="28"/>
        </w:rPr>
        <w:t xml:space="preserve"> sensu lato chez les chiens de propriétaires dans la région d’Alger</w:t>
      </w:r>
    </w:p>
    <w:p w:rsidR="003F77FB" w:rsidRPr="003F77FB" w:rsidRDefault="003F77FB" w:rsidP="009B631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C15369" w:rsidRPr="00C15369" w:rsidRDefault="00C15369" w:rsidP="00C15369">
      <w:pPr>
        <w:rPr>
          <w:rFonts w:asciiTheme="majorBidi" w:hAnsiTheme="majorBidi" w:cstheme="majorBidi"/>
          <w:sz w:val="24"/>
          <w:szCs w:val="24"/>
        </w:rPr>
      </w:pPr>
      <w:r w:rsidRPr="00C15369">
        <w:rPr>
          <w:rFonts w:asciiTheme="majorBidi" w:hAnsiTheme="majorBidi" w:cstheme="majorBidi"/>
          <w:sz w:val="24"/>
          <w:szCs w:val="24"/>
        </w:rPr>
        <w:t xml:space="preserve">Les arthropodes hématophages sont impliqués dans la transmission de nombreuses bactéries dont les principales appartiennent aux genres </w:t>
      </w:r>
      <w:proofErr w:type="spellStart"/>
      <w:r w:rsidRPr="00C15369">
        <w:rPr>
          <w:rFonts w:asciiTheme="majorBidi" w:hAnsiTheme="majorBidi" w:cstheme="majorBidi"/>
          <w:sz w:val="24"/>
          <w:szCs w:val="24"/>
        </w:rPr>
        <w:t>Anaplasma</w:t>
      </w:r>
      <w:proofErr w:type="spellEnd"/>
      <w:r w:rsidRPr="00C15369">
        <w:rPr>
          <w:rFonts w:asciiTheme="majorBidi" w:hAnsiTheme="majorBidi" w:cstheme="majorBidi"/>
          <w:sz w:val="24"/>
          <w:szCs w:val="24"/>
        </w:rPr>
        <w:t xml:space="preserve"> et </w:t>
      </w:r>
      <w:proofErr w:type="spellStart"/>
      <w:r w:rsidRPr="00C15369">
        <w:rPr>
          <w:rFonts w:asciiTheme="majorBidi" w:hAnsiTheme="majorBidi" w:cstheme="majorBidi"/>
          <w:sz w:val="24"/>
          <w:szCs w:val="24"/>
        </w:rPr>
        <w:t>Borrelia</w:t>
      </w:r>
      <w:proofErr w:type="spellEnd"/>
      <w:r w:rsidRPr="00C15369">
        <w:rPr>
          <w:rFonts w:asciiTheme="majorBidi" w:hAnsiTheme="majorBidi" w:cstheme="majorBidi"/>
          <w:sz w:val="24"/>
          <w:szCs w:val="24"/>
        </w:rPr>
        <w:t xml:space="preserve">. La plupart des maladies induites sont potentiellement émergente en Algérie. Or, la première étape pour évaluer le risque de contracter ses maladies vectorielles est de connaitre les méthodes de diagnostic de l’infection ainsi que la prévalence de l’agent en cause chez l’hôte réservoir et son vecteur. L’objectif de cette étude est de déterminer la séroprévalence, par immunofluorescence indirecte, à </w:t>
      </w:r>
      <w:proofErr w:type="spellStart"/>
      <w:r w:rsidRPr="00C15369">
        <w:rPr>
          <w:rFonts w:asciiTheme="majorBidi" w:hAnsiTheme="majorBidi" w:cstheme="majorBidi"/>
          <w:sz w:val="24"/>
          <w:szCs w:val="24"/>
        </w:rPr>
        <w:t>Borrelia</w:t>
      </w:r>
      <w:proofErr w:type="spellEnd"/>
      <w:r w:rsidRPr="00C15369">
        <w:rPr>
          <w:rFonts w:asciiTheme="majorBidi" w:hAnsiTheme="majorBidi" w:cstheme="majorBidi"/>
          <w:sz w:val="24"/>
          <w:szCs w:val="24"/>
        </w:rPr>
        <w:t xml:space="preserve"> </w:t>
      </w:r>
      <w:proofErr w:type="spellStart"/>
      <w:r w:rsidRPr="00C15369">
        <w:rPr>
          <w:rFonts w:asciiTheme="majorBidi" w:hAnsiTheme="majorBidi" w:cstheme="majorBidi"/>
          <w:sz w:val="24"/>
          <w:szCs w:val="24"/>
        </w:rPr>
        <w:t>burgdorferi</w:t>
      </w:r>
      <w:proofErr w:type="spellEnd"/>
      <w:r w:rsidRPr="00C15369">
        <w:rPr>
          <w:rFonts w:asciiTheme="majorBidi" w:hAnsiTheme="majorBidi" w:cstheme="majorBidi"/>
          <w:sz w:val="24"/>
          <w:szCs w:val="24"/>
        </w:rPr>
        <w:t xml:space="preserve"> dans une population de </w:t>
      </w:r>
      <w:proofErr w:type="spellStart"/>
      <w:r w:rsidRPr="00C15369">
        <w:rPr>
          <w:rFonts w:asciiTheme="majorBidi" w:hAnsiTheme="majorBidi" w:cstheme="majorBidi"/>
          <w:sz w:val="24"/>
          <w:szCs w:val="24"/>
        </w:rPr>
        <w:t>de</w:t>
      </w:r>
      <w:proofErr w:type="spellEnd"/>
      <w:r w:rsidRPr="00C15369">
        <w:rPr>
          <w:rFonts w:asciiTheme="majorBidi" w:hAnsiTheme="majorBidi" w:cstheme="majorBidi"/>
          <w:sz w:val="24"/>
          <w:szCs w:val="24"/>
        </w:rPr>
        <w:t xml:space="preserve"> propriétaire. Parmi les 28 chiens étudiés, 67,84% (19/28) se sont montrés positifs en IFI à </w:t>
      </w:r>
      <w:proofErr w:type="spellStart"/>
      <w:r w:rsidRPr="00C15369">
        <w:rPr>
          <w:rFonts w:asciiTheme="majorBidi" w:hAnsiTheme="majorBidi" w:cstheme="majorBidi"/>
          <w:sz w:val="24"/>
          <w:szCs w:val="24"/>
        </w:rPr>
        <w:t>Borrelia</w:t>
      </w:r>
      <w:proofErr w:type="spellEnd"/>
      <w:r w:rsidRPr="00C15369">
        <w:rPr>
          <w:rFonts w:asciiTheme="majorBidi" w:hAnsiTheme="majorBidi" w:cstheme="majorBidi"/>
          <w:sz w:val="24"/>
          <w:szCs w:val="24"/>
        </w:rPr>
        <w:t xml:space="preserve"> </w:t>
      </w:r>
      <w:proofErr w:type="spellStart"/>
      <w:r w:rsidRPr="00C15369">
        <w:rPr>
          <w:rFonts w:asciiTheme="majorBidi" w:hAnsiTheme="majorBidi" w:cstheme="majorBidi"/>
          <w:sz w:val="24"/>
          <w:szCs w:val="24"/>
        </w:rPr>
        <w:t>burgdorferi</w:t>
      </w:r>
      <w:proofErr w:type="spellEnd"/>
      <w:r w:rsidRPr="00C15369">
        <w:rPr>
          <w:rFonts w:asciiTheme="majorBidi" w:hAnsiTheme="majorBidi" w:cstheme="majorBidi"/>
          <w:sz w:val="24"/>
          <w:szCs w:val="24"/>
        </w:rPr>
        <w:t xml:space="preserve">, et 32,14% (9/28) définis comme séronégatifs et pour cela plusieurs paramètres ont été pris en compte tels que l’âge ,le sexe, l’état général du chien et la présence de tique sur l’animal, ce qui nous a permis de conclure que la maladie de </w:t>
      </w:r>
      <w:proofErr w:type="spellStart"/>
      <w:r w:rsidRPr="00C15369">
        <w:rPr>
          <w:rFonts w:asciiTheme="majorBidi" w:hAnsiTheme="majorBidi" w:cstheme="majorBidi"/>
          <w:sz w:val="24"/>
          <w:szCs w:val="24"/>
        </w:rPr>
        <w:t>lyme</w:t>
      </w:r>
      <w:proofErr w:type="spellEnd"/>
      <w:r w:rsidRPr="00C15369">
        <w:rPr>
          <w:rFonts w:asciiTheme="majorBidi" w:hAnsiTheme="majorBidi" w:cstheme="majorBidi"/>
          <w:sz w:val="24"/>
          <w:szCs w:val="24"/>
        </w:rPr>
        <w:t xml:space="preserve"> touche plus les chiens âgés de plus de 12 mois, qu’elle est présente autant chez le mâle que chez la femelle et malgré une séroprévalence élevée chez les chiens, un bon nombre d’infections demeurent asymptomatiques. Notre travail nous a aussi permis de mettre en évidence l’existence d’une coïnfection </w:t>
      </w:r>
      <w:proofErr w:type="spellStart"/>
      <w:r w:rsidRPr="00C15369">
        <w:rPr>
          <w:rFonts w:asciiTheme="majorBidi" w:hAnsiTheme="majorBidi" w:cstheme="majorBidi"/>
          <w:sz w:val="24"/>
          <w:szCs w:val="24"/>
        </w:rPr>
        <w:t>Anaplasma</w:t>
      </w:r>
      <w:proofErr w:type="spellEnd"/>
      <w:r w:rsidRPr="00C15369">
        <w:rPr>
          <w:rFonts w:asciiTheme="majorBidi" w:hAnsiTheme="majorBidi" w:cstheme="majorBidi"/>
          <w:sz w:val="24"/>
          <w:szCs w:val="24"/>
        </w:rPr>
        <w:t xml:space="preserve"> </w:t>
      </w:r>
      <w:proofErr w:type="spellStart"/>
      <w:r w:rsidRPr="00C15369">
        <w:rPr>
          <w:rFonts w:asciiTheme="majorBidi" w:hAnsiTheme="majorBidi" w:cstheme="majorBidi"/>
          <w:sz w:val="24"/>
          <w:szCs w:val="24"/>
        </w:rPr>
        <w:t>phagocytophilum</w:t>
      </w:r>
      <w:proofErr w:type="spellEnd"/>
      <w:r w:rsidRPr="00C15369">
        <w:rPr>
          <w:rFonts w:asciiTheme="majorBidi" w:hAnsiTheme="majorBidi" w:cstheme="majorBidi"/>
          <w:sz w:val="24"/>
          <w:szCs w:val="24"/>
        </w:rPr>
        <w:t xml:space="preserve"> et </w:t>
      </w:r>
      <w:proofErr w:type="spellStart"/>
      <w:r w:rsidRPr="00C15369">
        <w:rPr>
          <w:rFonts w:asciiTheme="majorBidi" w:hAnsiTheme="majorBidi" w:cstheme="majorBidi"/>
          <w:sz w:val="24"/>
          <w:szCs w:val="24"/>
        </w:rPr>
        <w:t>Borrelia</w:t>
      </w:r>
      <w:proofErr w:type="spellEnd"/>
      <w:r w:rsidRPr="00C15369">
        <w:rPr>
          <w:rFonts w:asciiTheme="majorBidi" w:hAnsiTheme="majorBidi" w:cstheme="majorBidi"/>
          <w:sz w:val="24"/>
          <w:szCs w:val="24"/>
        </w:rPr>
        <w:t xml:space="preserve"> </w:t>
      </w:r>
      <w:proofErr w:type="spellStart"/>
      <w:r w:rsidRPr="00C15369">
        <w:rPr>
          <w:rFonts w:asciiTheme="majorBidi" w:hAnsiTheme="majorBidi" w:cstheme="majorBidi"/>
          <w:sz w:val="24"/>
          <w:szCs w:val="24"/>
        </w:rPr>
        <w:t>burgdorferi</w:t>
      </w:r>
      <w:proofErr w:type="spellEnd"/>
      <w:r w:rsidRPr="00C15369">
        <w:rPr>
          <w:rFonts w:asciiTheme="majorBidi" w:hAnsiTheme="majorBidi" w:cstheme="majorBidi"/>
          <w:sz w:val="24"/>
          <w:szCs w:val="24"/>
        </w:rPr>
        <w:t xml:space="preserve"> avec un taux de 33,33%.</w:t>
      </w:r>
    </w:p>
    <w:p w:rsidR="00C15369" w:rsidRPr="00C15369" w:rsidRDefault="00C15369" w:rsidP="00C15369">
      <w:pPr>
        <w:rPr>
          <w:rFonts w:asciiTheme="majorBidi" w:hAnsiTheme="majorBidi" w:cstheme="majorBidi"/>
          <w:sz w:val="24"/>
          <w:szCs w:val="24"/>
        </w:rPr>
      </w:pPr>
    </w:p>
    <w:p w:rsidR="00C15369" w:rsidRPr="00C15369" w:rsidRDefault="00C15369" w:rsidP="00C15369">
      <w:pPr>
        <w:rPr>
          <w:rFonts w:asciiTheme="majorBidi" w:hAnsiTheme="majorBidi" w:cstheme="majorBidi"/>
          <w:sz w:val="24"/>
          <w:szCs w:val="24"/>
        </w:rPr>
      </w:pPr>
    </w:p>
    <w:p w:rsidR="00C15369" w:rsidRPr="00C15369" w:rsidRDefault="00C15369" w:rsidP="00C15369">
      <w:pPr>
        <w:rPr>
          <w:rFonts w:asciiTheme="majorBidi" w:hAnsiTheme="majorBidi" w:cstheme="majorBidi"/>
          <w:b/>
          <w:bCs/>
          <w:sz w:val="24"/>
          <w:szCs w:val="24"/>
        </w:rPr>
      </w:pPr>
      <w:r w:rsidRPr="00C15369">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C15369" w:rsidRDefault="00C15369" w:rsidP="00C15369">
      <w:pPr>
        <w:rPr>
          <w:rFonts w:asciiTheme="majorBidi" w:hAnsiTheme="majorBidi" w:cstheme="majorBidi"/>
          <w:sz w:val="24"/>
          <w:szCs w:val="24"/>
          <w:lang w:val="en-US"/>
        </w:rPr>
      </w:pPr>
      <w:proofErr w:type="spellStart"/>
      <w:r w:rsidRPr="00C15369">
        <w:rPr>
          <w:rFonts w:asciiTheme="majorBidi" w:hAnsiTheme="majorBidi" w:cstheme="majorBidi"/>
          <w:sz w:val="24"/>
          <w:szCs w:val="24"/>
          <w:lang w:val="en-US"/>
        </w:rPr>
        <w:t>Hematophagus</w:t>
      </w:r>
      <w:proofErr w:type="spellEnd"/>
      <w:r w:rsidRPr="00C15369">
        <w:rPr>
          <w:rFonts w:asciiTheme="majorBidi" w:hAnsiTheme="majorBidi" w:cstheme="majorBidi"/>
          <w:sz w:val="24"/>
          <w:szCs w:val="24"/>
          <w:lang w:val="en-US"/>
        </w:rPr>
        <w:t xml:space="preserve"> arthropods are implicated in the transmission of several bacteria in which the main strains belong to the </w:t>
      </w:r>
      <w:proofErr w:type="spellStart"/>
      <w:r w:rsidRPr="00C15369">
        <w:rPr>
          <w:rFonts w:asciiTheme="majorBidi" w:hAnsiTheme="majorBidi" w:cstheme="majorBidi"/>
          <w:sz w:val="24"/>
          <w:szCs w:val="24"/>
          <w:lang w:val="en-US"/>
        </w:rPr>
        <w:t>Anaplasma</w:t>
      </w:r>
      <w:proofErr w:type="spellEnd"/>
      <w:r w:rsidRPr="00C15369">
        <w:rPr>
          <w:rFonts w:asciiTheme="majorBidi" w:hAnsiTheme="majorBidi" w:cstheme="majorBidi"/>
          <w:sz w:val="24"/>
          <w:szCs w:val="24"/>
          <w:lang w:val="en-US"/>
        </w:rPr>
        <w:t xml:space="preserve"> and </w:t>
      </w:r>
      <w:proofErr w:type="spellStart"/>
      <w:r w:rsidRPr="00C15369">
        <w:rPr>
          <w:rFonts w:asciiTheme="majorBidi" w:hAnsiTheme="majorBidi" w:cstheme="majorBidi"/>
          <w:sz w:val="24"/>
          <w:szCs w:val="24"/>
          <w:lang w:val="en-US"/>
        </w:rPr>
        <w:t>Borrelia</w:t>
      </w:r>
      <w:proofErr w:type="spellEnd"/>
      <w:r w:rsidRPr="00C15369">
        <w:rPr>
          <w:rFonts w:asciiTheme="majorBidi" w:hAnsiTheme="majorBidi" w:cstheme="majorBidi"/>
          <w:sz w:val="24"/>
          <w:szCs w:val="24"/>
          <w:lang w:val="en-US"/>
        </w:rPr>
        <w:t xml:space="preserve"> </w:t>
      </w:r>
      <w:proofErr w:type="spellStart"/>
      <w:r w:rsidRPr="00C15369">
        <w:rPr>
          <w:rFonts w:asciiTheme="majorBidi" w:hAnsiTheme="majorBidi" w:cstheme="majorBidi"/>
          <w:sz w:val="24"/>
          <w:szCs w:val="24"/>
          <w:lang w:val="en-US"/>
        </w:rPr>
        <w:t>Genious</w:t>
      </w:r>
      <w:proofErr w:type="spellEnd"/>
      <w:r w:rsidRPr="00C15369">
        <w:rPr>
          <w:rFonts w:asciiTheme="majorBidi" w:hAnsiTheme="majorBidi" w:cstheme="majorBidi"/>
          <w:sz w:val="24"/>
          <w:szCs w:val="24"/>
          <w:lang w:val="en-US"/>
        </w:rPr>
        <w:t xml:space="preserve">, Most of the induced illnesses are potentially emergent in Algeria. However, the first step to value (to assess) the riskiness of contamination with those vector-borne diseases, is the awareness of the diagnosis methods of the infection and the prevalence of the causal agent in the host tank and its vector. The aim of this study is to determinate the </w:t>
      </w:r>
      <w:proofErr w:type="spellStart"/>
      <w:r w:rsidRPr="00C15369">
        <w:rPr>
          <w:rFonts w:asciiTheme="majorBidi" w:hAnsiTheme="majorBidi" w:cstheme="majorBidi"/>
          <w:sz w:val="24"/>
          <w:szCs w:val="24"/>
          <w:lang w:val="en-US"/>
        </w:rPr>
        <w:t>seroprevalence</w:t>
      </w:r>
      <w:proofErr w:type="spellEnd"/>
      <w:r w:rsidRPr="00C15369">
        <w:rPr>
          <w:rFonts w:asciiTheme="majorBidi" w:hAnsiTheme="majorBidi" w:cstheme="majorBidi"/>
          <w:sz w:val="24"/>
          <w:szCs w:val="24"/>
          <w:lang w:val="en-US"/>
        </w:rPr>
        <w:t xml:space="preserve"> with indirect </w:t>
      </w:r>
      <w:proofErr w:type="spellStart"/>
      <w:r w:rsidRPr="00C15369">
        <w:rPr>
          <w:rFonts w:asciiTheme="majorBidi" w:hAnsiTheme="majorBidi" w:cstheme="majorBidi"/>
          <w:sz w:val="24"/>
          <w:szCs w:val="24"/>
          <w:lang w:val="en-US"/>
        </w:rPr>
        <w:t>immunofluorescence</w:t>
      </w:r>
      <w:proofErr w:type="spellEnd"/>
      <w:r w:rsidRPr="00C15369">
        <w:rPr>
          <w:rFonts w:asciiTheme="majorBidi" w:hAnsiTheme="majorBidi" w:cstheme="majorBidi"/>
          <w:sz w:val="24"/>
          <w:szCs w:val="24"/>
          <w:lang w:val="en-US"/>
        </w:rPr>
        <w:t xml:space="preserve"> antibody test (IFA) to </w:t>
      </w:r>
      <w:proofErr w:type="spellStart"/>
      <w:r w:rsidRPr="00C15369">
        <w:rPr>
          <w:rFonts w:asciiTheme="majorBidi" w:hAnsiTheme="majorBidi" w:cstheme="majorBidi"/>
          <w:sz w:val="24"/>
          <w:szCs w:val="24"/>
          <w:lang w:val="en-US"/>
        </w:rPr>
        <w:t>Borrelia</w:t>
      </w:r>
      <w:proofErr w:type="spellEnd"/>
      <w:r w:rsidRPr="00C15369">
        <w:rPr>
          <w:rFonts w:asciiTheme="majorBidi" w:hAnsiTheme="majorBidi" w:cstheme="majorBidi"/>
          <w:sz w:val="24"/>
          <w:szCs w:val="24"/>
          <w:lang w:val="en-US"/>
        </w:rPr>
        <w:t xml:space="preserve"> </w:t>
      </w:r>
      <w:proofErr w:type="spellStart"/>
      <w:r w:rsidRPr="00C15369">
        <w:rPr>
          <w:rFonts w:asciiTheme="majorBidi" w:hAnsiTheme="majorBidi" w:cstheme="majorBidi"/>
          <w:sz w:val="24"/>
          <w:szCs w:val="24"/>
          <w:lang w:val="en-US"/>
        </w:rPr>
        <w:t>burgdorferi</w:t>
      </w:r>
      <w:proofErr w:type="spellEnd"/>
      <w:r w:rsidRPr="00C15369">
        <w:rPr>
          <w:rFonts w:asciiTheme="majorBidi" w:hAnsiTheme="majorBidi" w:cstheme="majorBidi"/>
          <w:sz w:val="24"/>
          <w:szCs w:val="24"/>
          <w:lang w:val="en-US"/>
        </w:rPr>
        <w:t xml:space="preserve"> in a population of pet dogs (owner dogs). Among the 28 dogs studied, 67,84% (19/28) are positive to </w:t>
      </w:r>
      <w:proofErr w:type="spellStart"/>
      <w:r w:rsidRPr="00C15369">
        <w:rPr>
          <w:rFonts w:asciiTheme="majorBidi" w:hAnsiTheme="majorBidi" w:cstheme="majorBidi"/>
          <w:sz w:val="24"/>
          <w:szCs w:val="24"/>
          <w:lang w:val="en-US"/>
        </w:rPr>
        <w:t>Borrelia</w:t>
      </w:r>
      <w:proofErr w:type="spellEnd"/>
      <w:r w:rsidRPr="00C15369">
        <w:rPr>
          <w:rFonts w:asciiTheme="majorBidi" w:hAnsiTheme="majorBidi" w:cstheme="majorBidi"/>
          <w:sz w:val="24"/>
          <w:szCs w:val="24"/>
          <w:lang w:val="en-US"/>
        </w:rPr>
        <w:t xml:space="preserve"> </w:t>
      </w:r>
      <w:proofErr w:type="spellStart"/>
      <w:r w:rsidRPr="00C15369">
        <w:rPr>
          <w:rFonts w:asciiTheme="majorBidi" w:hAnsiTheme="majorBidi" w:cstheme="majorBidi"/>
          <w:sz w:val="24"/>
          <w:szCs w:val="24"/>
          <w:lang w:val="en-US"/>
        </w:rPr>
        <w:t>burgdorferi</w:t>
      </w:r>
      <w:proofErr w:type="spellEnd"/>
      <w:r w:rsidRPr="00C15369">
        <w:rPr>
          <w:rFonts w:asciiTheme="majorBidi" w:hAnsiTheme="majorBidi" w:cstheme="majorBidi"/>
          <w:sz w:val="24"/>
          <w:szCs w:val="24"/>
          <w:lang w:val="en-US"/>
        </w:rPr>
        <w:t xml:space="preserve"> according to IFA test, 32,14% (9/28) described as negative, For this to happen many parameters had been taken into consideration: age, gender, general state of health, existence (presence) of ticks on animal. It leaded us to the conclusion that </w:t>
      </w:r>
      <w:proofErr w:type="spellStart"/>
      <w:proofErr w:type="gramStart"/>
      <w:r w:rsidRPr="00C15369">
        <w:rPr>
          <w:rFonts w:asciiTheme="majorBidi" w:hAnsiTheme="majorBidi" w:cstheme="majorBidi"/>
          <w:sz w:val="24"/>
          <w:szCs w:val="24"/>
          <w:lang w:val="en-US"/>
        </w:rPr>
        <w:t>lyme</w:t>
      </w:r>
      <w:proofErr w:type="spellEnd"/>
      <w:proofErr w:type="gramEnd"/>
      <w:r w:rsidRPr="00C15369">
        <w:rPr>
          <w:rFonts w:asciiTheme="majorBidi" w:hAnsiTheme="majorBidi" w:cstheme="majorBidi"/>
          <w:sz w:val="24"/>
          <w:szCs w:val="24"/>
          <w:lang w:val="en-US"/>
        </w:rPr>
        <w:t xml:space="preserve"> disease is likely to affect dogs that are more than 12 months age and that it affects males as well as females. Despite an increased (high) </w:t>
      </w:r>
      <w:proofErr w:type="spellStart"/>
      <w:r w:rsidRPr="00C15369">
        <w:rPr>
          <w:rFonts w:asciiTheme="majorBidi" w:hAnsiTheme="majorBidi" w:cstheme="majorBidi"/>
          <w:sz w:val="24"/>
          <w:szCs w:val="24"/>
          <w:lang w:val="en-US"/>
        </w:rPr>
        <w:t>seroprevalence</w:t>
      </w:r>
      <w:proofErr w:type="spellEnd"/>
      <w:r w:rsidRPr="00C15369">
        <w:rPr>
          <w:rFonts w:asciiTheme="majorBidi" w:hAnsiTheme="majorBidi" w:cstheme="majorBidi"/>
          <w:sz w:val="24"/>
          <w:szCs w:val="24"/>
          <w:lang w:val="en-US"/>
        </w:rPr>
        <w:t xml:space="preserve"> in dogs, most of the identified infected dogs remain asymptomatic. In addition our work allowed us to bring out the existence of a co-infection to </w:t>
      </w:r>
      <w:proofErr w:type="spellStart"/>
      <w:r w:rsidRPr="00C15369">
        <w:rPr>
          <w:rFonts w:asciiTheme="majorBidi" w:hAnsiTheme="majorBidi" w:cstheme="majorBidi"/>
          <w:sz w:val="24"/>
          <w:szCs w:val="24"/>
          <w:lang w:val="en-US"/>
        </w:rPr>
        <w:t>Borrelia</w:t>
      </w:r>
      <w:proofErr w:type="spellEnd"/>
      <w:r w:rsidRPr="00C15369">
        <w:rPr>
          <w:rFonts w:asciiTheme="majorBidi" w:hAnsiTheme="majorBidi" w:cstheme="majorBidi"/>
          <w:sz w:val="24"/>
          <w:szCs w:val="24"/>
          <w:lang w:val="en-US"/>
        </w:rPr>
        <w:t xml:space="preserve"> </w:t>
      </w:r>
      <w:proofErr w:type="spellStart"/>
      <w:r w:rsidRPr="00C15369">
        <w:rPr>
          <w:rFonts w:asciiTheme="majorBidi" w:hAnsiTheme="majorBidi" w:cstheme="majorBidi"/>
          <w:sz w:val="24"/>
          <w:szCs w:val="24"/>
          <w:lang w:val="en-US"/>
        </w:rPr>
        <w:t>burgdorferi</w:t>
      </w:r>
      <w:proofErr w:type="spellEnd"/>
      <w:r w:rsidRPr="00C15369">
        <w:rPr>
          <w:rFonts w:asciiTheme="majorBidi" w:hAnsiTheme="majorBidi" w:cstheme="majorBidi"/>
          <w:sz w:val="24"/>
          <w:szCs w:val="24"/>
          <w:lang w:val="en-US"/>
        </w:rPr>
        <w:t xml:space="preserve"> and </w:t>
      </w:r>
      <w:proofErr w:type="spellStart"/>
      <w:r w:rsidRPr="00C15369">
        <w:rPr>
          <w:rFonts w:asciiTheme="majorBidi" w:hAnsiTheme="majorBidi" w:cstheme="majorBidi"/>
          <w:sz w:val="24"/>
          <w:szCs w:val="24"/>
          <w:lang w:val="en-US"/>
        </w:rPr>
        <w:t>Anaplasma</w:t>
      </w:r>
      <w:proofErr w:type="spellEnd"/>
      <w:r w:rsidRPr="00C15369">
        <w:rPr>
          <w:rFonts w:asciiTheme="majorBidi" w:hAnsiTheme="majorBidi" w:cstheme="majorBidi"/>
          <w:sz w:val="24"/>
          <w:szCs w:val="24"/>
          <w:lang w:val="en-US"/>
        </w:rPr>
        <w:t xml:space="preserve"> </w:t>
      </w:r>
      <w:proofErr w:type="spellStart"/>
      <w:r w:rsidRPr="00C15369">
        <w:rPr>
          <w:rFonts w:asciiTheme="majorBidi" w:hAnsiTheme="majorBidi" w:cstheme="majorBidi"/>
          <w:sz w:val="24"/>
          <w:szCs w:val="24"/>
          <w:lang w:val="en-US"/>
        </w:rPr>
        <w:t>phagocytophilum</w:t>
      </w:r>
      <w:proofErr w:type="spellEnd"/>
      <w:r w:rsidRPr="00C15369">
        <w:rPr>
          <w:rFonts w:asciiTheme="majorBidi" w:hAnsiTheme="majorBidi" w:cstheme="majorBidi"/>
          <w:sz w:val="24"/>
          <w:szCs w:val="24"/>
          <w:lang w:val="en-US"/>
        </w:rPr>
        <w:t xml:space="preserve"> with a rate of 33</w:t>
      </w:r>
      <w:proofErr w:type="gramStart"/>
      <w:r w:rsidRPr="00C15369">
        <w:rPr>
          <w:rFonts w:asciiTheme="majorBidi" w:hAnsiTheme="majorBidi" w:cstheme="majorBidi"/>
          <w:sz w:val="24"/>
          <w:szCs w:val="24"/>
          <w:lang w:val="en-US"/>
        </w:rPr>
        <w:t>,33</w:t>
      </w:r>
      <w:proofErr w:type="gramEnd"/>
      <w:r w:rsidRPr="00C15369">
        <w:rPr>
          <w:rFonts w:asciiTheme="majorBidi" w:hAnsiTheme="majorBidi" w:cstheme="majorBidi"/>
          <w:sz w:val="24"/>
          <w:szCs w:val="24"/>
          <w:lang w:val="en-US"/>
        </w:rPr>
        <w:t>%.</w:t>
      </w:r>
    </w:p>
    <w:sectPr w:rsidR="00DF3BB5" w:rsidRPr="00C15369"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Pages>
  <Words>436</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60</cp:revision>
  <dcterms:created xsi:type="dcterms:W3CDTF">2020-01-20T08:03:00Z</dcterms:created>
  <dcterms:modified xsi:type="dcterms:W3CDTF">2020-01-28T13:00:00Z</dcterms:modified>
</cp:coreProperties>
</file>