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9040D2" w:rsidRDefault="0038268C" w:rsidP="009040D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040D2" w:rsidRPr="009040D2">
        <w:rPr>
          <w:rFonts w:asciiTheme="majorBidi" w:hAnsiTheme="majorBidi" w:cstheme="majorBidi"/>
          <w:b/>
          <w:bCs/>
          <w:sz w:val="28"/>
          <w:szCs w:val="28"/>
        </w:rPr>
        <w:t>Diagnostic du kyste ovarien chez la vache</w:t>
      </w:r>
    </w:p>
    <w:p w:rsidR="009040D2" w:rsidRDefault="009040D2" w:rsidP="009040D2">
      <w:pPr>
        <w:rPr>
          <w:rFonts w:asciiTheme="majorBidi" w:hAnsiTheme="majorBidi" w:cstheme="majorBidi"/>
          <w:b/>
          <w:bCs/>
          <w:sz w:val="28"/>
          <w:szCs w:val="28"/>
        </w:rPr>
      </w:pP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9040D2" w:rsidRPr="009040D2" w:rsidRDefault="009040D2" w:rsidP="009040D2">
      <w:pPr>
        <w:rPr>
          <w:rFonts w:asciiTheme="majorBidi" w:hAnsiTheme="majorBidi" w:cstheme="majorBidi"/>
          <w:sz w:val="24"/>
          <w:szCs w:val="24"/>
        </w:rPr>
      </w:pPr>
      <w:r w:rsidRPr="009040D2">
        <w:rPr>
          <w:rFonts w:asciiTheme="majorBidi" w:hAnsiTheme="majorBidi" w:cstheme="majorBidi"/>
          <w:sz w:val="24"/>
          <w:szCs w:val="24"/>
        </w:rPr>
        <w:t>L’objectif de cette étude est de recenser les différentes pathologies de l’appareil génital de la vache rencontrées à l’abattoir de BBA et d’El-Harrach, tout en prêtant attention à celles de l’ovaire pour rechercher d’éventuelles formations kystiques et de réaliser une étude histologique sur ce dernier afin de mieux diagnostiquer le type du kyste ovarien. La fréquence de l’affection ovarienne obtenue suite à l’étude anatomopathologique est de 15.16%. Ce qui fait que l’incidence des Kystes ovariens s’avère la plus importante suivie de celle des infections utérines. Le pourcentage des kystes folliculaires (KF) et celui des kystes lutéaux sont respectivement : KF : 77,19 %. KL: 22.81%.</w:t>
      </w:r>
    </w:p>
    <w:p w:rsidR="009040D2" w:rsidRPr="009040D2" w:rsidRDefault="009040D2" w:rsidP="009040D2">
      <w:pPr>
        <w:rPr>
          <w:rFonts w:asciiTheme="majorBidi" w:hAnsiTheme="majorBidi" w:cstheme="majorBidi"/>
          <w:sz w:val="24"/>
          <w:szCs w:val="24"/>
        </w:rPr>
      </w:pPr>
    </w:p>
    <w:p w:rsidR="009040D2" w:rsidRPr="009040D2" w:rsidRDefault="009040D2" w:rsidP="009040D2">
      <w:pPr>
        <w:rPr>
          <w:rFonts w:asciiTheme="majorBidi" w:hAnsiTheme="majorBidi" w:cstheme="majorBidi"/>
          <w:sz w:val="24"/>
          <w:szCs w:val="24"/>
        </w:rPr>
      </w:pPr>
    </w:p>
    <w:p w:rsidR="009040D2" w:rsidRPr="009040D2" w:rsidRDefault="009040D2" w:rsidP="009040D2">
      <w:pPr>
        <w:rPr>
          <w:rFonts w:asciiTheme="majorBidi" w:hAnsiTheme="majorBidi" w:cstheme="majorBidi"/>
          <w:sz w:val="24"/>
          <w:szCs w:val="24"/>
        </w:rPr>
      </w:pPr>
    </w:p>
    <w:p w:rsidR="009040D2" w:rsidRPr="009040D2" w:rsidRDefault="009040D2" w:rsidP="009040D2">
      <w:pPr>
        <w:rPr>
          <w:rFonts w:asciiTheme="majorBidi" w:hAnsiTheme="majorBidi" w:cstheme="majorBidi"/>
          <w:sz w:val="24"/>
          <w:szCs w:val="24"/>
        </w:rPr>
      </w:pPr>
    </w:p>
    <w:p w:rsidR="009040D2" w:rsidRPr="009040D2" w:rsidRDefault="009040D2" w:rsidP="009040D2">
      <w:pPr>
        <w:rPr>
          <w:rFonts w:asciiTheme="majorBidi" w:hAnsiTheme="majorBidi" w:cstheme="majorBidi"/>
          <w:b/>
          <w:bCs/>
          <w:sz w:val="24"/>
          <w:szCs w:val="24"/>
        </w:rPr>
      </w:pPr>
      <w:r w:rsidRPr="009040D2">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9040D2" w:rsidRDefault="009040D2" w:rsidP="009040D2">
      <w:pPr>
        <w:rPr>
          <w:rFonts w:asciiTheme="majorBidi" w:hAnsiTheme="majorBidi" w:cstheme="majorBidi"/>
          <w:sz w:val="24"/>
          <w:szCs w:val="24"/>
          <w:lang w:val="en-US"/>
        </w:rPr>
      </w:pPr>
      <w:r w:rsidRPr="009040D2">
        <w:rPr>
          <w:rFonts w:asciiTheme="majorBidi" w:hAnsiTheme="majorBidi" w:cstheme="majorBidi"/>
          <w:sz w:val="24"/>
          <w:szCs w:val="24"/>
          <w:lang w:val="en-US"/>
        </w:rPr>
        <w:t>The objective of this study is to count the various pathologies of the genital apparatus of the cow at the slaughter-house of BBA and El-</w:t>
      </w:r>
      <w:proofErr w:type="spellStart"/>
      <w:r w:rsidRPr="009040D2">
        <w:rPr>
          <w:rFonts w:asciiTheme="majorBidi" w:hAnsiTheme="majorBidi" w:cstheme="majorBidi"/>
          <w:sz w:val="24"/>
          <w:szCs w:val="24"/>
          <w:lang w:val="en-US"/>
        </w:rPr>
        <w:t>Harrach</w:t>
      </w:r>
      <w:proofErr w:type="spellEnd"/>
      <w:r w:rsidRPr="009040D2">
        <w:rPr>
          <w:rFonts w:asciiTheme="majorBidi" w:hAnsiTheme="majorBidi" w:cstheme="majorBidi"/>
          <w:sz w:val="24"/>
          <w:szCs w:val="24"/>
          <w:lang w:val="en-US"/>
        </w:rPr>
        <w:t xml:space="preserve">, while we give attention to those of the ovary, associated with ovarian cyst formation in order to better diagnose the type of the cystic ovary. The frequency of the Cystic ovary following </w:t>
      </w:r>
      <w:proofErr w:type="spellStart"/>
      <w:r w:rsidRPr="009040D2">
        <w:rPr>
          <w:rFonts w:asciiTheme="majorBidi" w:hAnsiTheme="majorBidi" w:cstheme="majorBidi"/>
          <w:sz w:val="24"/>
          <w:szCs w:val="24"/>
          <w:lang w:val="en-US"/>
        </w:rPr>
        <w:t>anatomopathological</w:t>
      </w:r>
      <w:proofErr w:type="spellEnd"/>
      <w:r w:rsidRPr="009040D2">
        <w:rPr>
          <w:rFonts w:asciiTheme="majorBidi" w:hAnsiTheme="majorBidi" w:cstheme="majorBidi"/>
          <w:sz w:val="24"/>
          <w:szCs w:val="24"/>
          <w:lang w:val="en-US"/>
        </w:rPr>
        <w:t xml:space="preserve"> study is 15.16%. What makes the incidence of the cystic ovary the most significant followed by the uterine </w:t>
      </w:r>
      <w:proofErr w:type="gramStart"/>
      <w:r w:rsidRPr="009040D2">
        <w:rPr>
          <w:rFonts w:asciiTheme="majorBidi" w:hAnsiTheme="majorBidi" w:cstheme="majorBidi"/>
          <w:sz w:val="24"/>
          <w:szCs w:val="24"/>
          <w:lang w:val="en-US"/>
        </w:rPr>
        <w:t>infection.</w:t>
      </w:r>
      <w:proofErr w:type="gramEnd"/>
      <w:r w:rsidRPr="009040D2">
        <w:rPr>
          <w:rFonts w:asciiTheme="majorBidi" w:hAnsiTheme="majorBidi" w:cstheme="majorBidi"/>
          <w:sz w:val="24"/>
          <w:szCs w:val="24"/>
          <w:lang w:val="en-US"/>
        </w:rPr>
        <w:t xml:space="preserve"> The percentage of the follicular cysts (KF) and that of the </w:t>
      </w:r>
      <w:proofErr w:type="spellStart"/>
      <w:r w:rsidRPr="009040D2">
        <w:rPr>
          <w:rFonts w:asciiTheme="majorBidi" w:hAnsiTheme="majorBidi" w:cstheme="majorBidi"/>
          <w:sz w:val="24"/>
          <w:szCs w:val="24"/>
          <w:lang w:val="en-US"/>
        </w:rPr>
        <w:t>luteal</w:t>
      </w:r>
      <w:proofErr w:type="spellEnd"/>
      <w:r w:rsidRPr="009040D2">
        <w:rPr>
          <w:rFonts w:asciiTheme="majorBidi" w:hAnsiTheme="majorBidi" w:cstheme="majorBidi"/>
          <w:sz w:val="24"/>
          <w:szCs w:val="24"/>
          <w:lang w:val="en-US"/>
        </w:rPr>
        <w:t xml:space="preserve"> cysts are respectively: „I </w:t>
      </w:r>
      <w:proofErr w:type="gramStart"/>
      <w:r w:rsidRPr="009040D2">
        <w:rPr>
          <w:rFonts w:asciiTheme="majorBidi" w:hAnsiTheme="majorBidi" w:cstheme="majorBidi"/>
          <w:sz w:val="24"/>
          <w:szCs w:val="24"/>
          <w:lang w:val="en-US"/>
        </w:rPr>
        <w:t>KF :</w:t>
      </w:r>
      <w:proofErr w:type="gramEnd"/>
      <w:r w:rsidRPr="009040D2">
        <w:rPr>
          <w:rFonts w:asciiTheme="majorBidi" w:hAnsiTheme="majorBidi" w:cstheme="majorBidi"/>
          <w:sz w:val="24"/>
          <w:szCs w:val="24"/>
          <w:lang w:val="en-US"/>
        </w:rPr>
        <w:t xml:space="preserve"> 77,19 %. </w:t>
      </w:r>
      <w:r w:rsidRPr="009040D2">
        <w:rPr>
          <w:rFonts w:asciiTheme="majorBidi" w:hAnsiTheme="majorBidi" w:cstheme="majorBidi"/>
          <w:sz w:val="24"/>
          <w:szCs w:val="24"/>
        </w:rPr>
        <w:t>„I KL : 22.81%.</w:t>
      </w:r>
    </w:p>
    <w:sectPr w:rsidR="00DF3BB5" w:rsidRPr="009040D2"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Pages>
  <Words>213</Words>
  <Characters>1173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92</cp:revision>
  <dcterms:created xsi:type="dcterms:W3CDTF">2020-01-20T08:03:00Z</dcterms:created>
  <dcterms:modified xsi:type="dcterms:W3CDTF">2020-02-06T09:18:00Z</dcterms:modified>
</cp:coreProperties>
</file>