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84649B" w:rsidRDefault="0038268C" w:rsidP="0084649B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84649B" w:rsidRPr="0084649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Anatomie chez la vache laitière</w:t>
      </w:r>
    </w:p>
    <w:p w:rsidR="00954BE0" w:rsidRPr="007D1EA5" w:rsidRDefault="00954BE0" w:rsidP="0084649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84649B" w:rsidRDefault="0084649B" w:rsidP="0084649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84649B">
        <w:rPr>
          <w:rFonts w:asciiTheme="majorBidi" w:hAnsiTheme="majorBidi" w:cstheme="majorBidi"/>
          <w:sz w:val="24"/>
          <w:szCs w:val="24"/>
        </w:rPr>
        <w:t xml:space="preserve">La prévalence de la cétose des vaches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laitiéres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est de 20%, selon cette enquête. Elle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ateint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le plus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fréquement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les vaches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laitiéres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multipart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hautes productrices, Cette affection se retrouve le plus souvent en hiver. La forme clinique est la forme la plus couramment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rencontrése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(67%) son traitement est favorable dans 45%.</w:t>
      </w:r>
    </w:p>
    <w:sectPr w:rsidR="00DF3BB5" w:rsidRPr="0084649B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4649B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1DD9"/>
    <w:rsid w:val="00E8348F"/>
    <w:rsid w:val="00E83611"/>
    <w:rsid w:val="00E85515"/>
    <w:rsid w:val="00E91503"/>
    <w:rsid w:val="00E916E8"/>
    <w:rsid w:val="00E93855"/>
    <w:rsid w:val="00E93F86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2020-11-23T07:55:00Z</dcterms:created>
  <dcterms:modified xsi:type="dcterms:W3CDTF">2020-11-23T07:55:00Z</dcterms:modified>
</cp:coreProperties>
</file>