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60D" w:rsidRDefault="0092460D" w:rsidP="0092460D">
      <w:pPr>
        <w:autoSpaceDE w:val="0"/>
        <w:autoSpaceDN w:val="0"/>
        <w:adjustRightInd w:val="0"/>
        <w:spacing w:after="0" w:line="240" w:lineRule="auto"/>
        <w:rPr>
          <w:rFonts w:asciiTheme="majorBidi" w:eastAsia="Times New Roman" w:hAnsiTheme="majorBidi" w:cstheme="majorBidi"/>
          <w:b/>
          <w:bCs/>
          <w:sz w:val="28"/>
          <w:szCs w:val="28"/>
        </w:rPr>
      </w:pPr>
    </w:p>
    <w:p w:rsidR="00497418" w:rsidRDefault="0092460D" w:rsidP="00DC6C5E">
      <w:pPr>
        <w:autoSpaceDE w:val="0"/>
        <w:autoSpaceDN w:val="0"/>
        <w:adjustRightInd w:val="0"/>
        <w:spacing w:after="0" w:line="240" w:lineRule="auto"/>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d</w:t>
      </w:r>
      <w:r w:rsidR="004F65A9">
        <w:rPr>
          <w:rFonts w:asciiTheme="majorBidi" w:eastAsia="Times New Roman" w:hAnsiTheme="majorBidi" w:cstheme="majorBidi"/>
          <w:b/>
          <w:bCs/>
          <w:sz w:val="28"/>
          <w:szCs w:val="28"/>
        </w:rPr>
        <w:t>u</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sous titre : </w:t>
      </w:r>
      <w:r w:rsidR="00DC6C5E" w:rsidRPr="00DC6C5E">
        <w:rPr>
          <w:rFonts w:ascii="Times New Roman" w:hAnsi="Times New Roman" w:cs="Times New Roman"/>
          <w:b/>
          <w:bCs/>
          <w:sz w:val="28"/>
          <w:szCs w:val="28"/>
        </w:rPr>
        <w:t xml:space="preserve">Contribution a l’étude de l’influence du ressuage sur le niveau de résistance aux antibiotiques des </w:t>
      </w:r>
      <w:proofErr w:type="spellStart"/>
      <w:r w:rsidR="00DC6C5E" w:rsidRPr="00DC6C5E">
        <w:rPr>
          <w:rFonts w:ascii="Times New Roman" w:hAnsi="Times New Roman" w:cs="Times New Roman"/>
          <w:b/>
          <w:bCs/>
          <w:sz w:val="28"/>
          <w:szCs w:val="28"/>
        </w:rPr>
        <w:t>campylobacter</w:t>
      </w:r>
      <w:proofErr w:type="spellEnd"/>
      <w:r w:rsidR="00DC6C5E" w:rsidRPr="00DC6C5E">
        <w:rPr>
          <w:rFonts w:ascii="Times New Roman" w:hAnsi="Times New Roman" w:cs="Times New Roman"/>
          <w:b/>
          <w:bCs/>
          <w:sz w:val="28"/>
          <w:szCs w:val="28"/>
        </w:rPr>
        <w:t xml:space="preserve"> </w:t>
      </w:r>
      <w:proofErr w:type="spellStart"/>
      <w:r w:rsidR="00DC6C5E" w:rsidRPr="00DC6C5E">
        <w:rPr>
          <w:rFonts w:ascii="Times New Roman" w:hAnsi="Times New Roman" w:cs="Times New Roman"/>
          <w:b/>
          <w:bCs/>
          <w:sz w:val="28"/>
          <w:szCs w:val="28"/>
        </w:rPr>
        <w:t>thermotolérants</w:t>
      </w:r>
      <w:proofErr w:type="spellEnd"/>
      <w:r w:rsidR="00DC6C5E" w:rsidRPr="00DC6C5E">
        <w:rPr>
          <w:rFonts w:ascii="Times New Roman" w:hAnsi="Times New Roman" w:cs="Times New Roman"/>
          <w:b/>
          <w:bCs/>
          <w:sz w:val="28"/>
          <w:szCs w:val="28"/>
        </w:rPr>
        <w:t xml:space="preserve"> isolés de poulets de chair (</w:t>
      </w:r>
      <w:proofErr w:type="spellStart"/>
      <w:r w:rsidR="00DC6C5E" w:rsidRPr="00DC6C5E">
        <w:rPr>
          <w:rFonts w:ascii="Times New Roman" w:hAnsi="Times New Roman" w:cs="Times New Roman"/>
          <w:b/>
          <w:bCs/>
          <w:sz w:val="28"/>
          <w:szCs w:val="28"/>
        </w:rPr>
        <w:t>alger</w:t>
      </w:r>
      <w:proofErr w:type="spellEnd"/>
      <w:r w:rsidR="00DC6C5E" w:rsidRPr="00DC6C5E">
        <w:rPr>
          <w:rFonts w:ascii="Times New Roman" w:hAnsi="Times New Roman" w:cs="Times New Roman"/>
          <w:b/>
          <w:bCs/>
          <w:sz w:val="28"/>
          <w:szCs w:val="28"/>
        </w:rPr>
        <w:t>)</w:t>
      </w:r>
    </w:p>
    <w:p w:rsidR="00DC6C5E" w:rsidRDefault="00DC6C5E" w:rsidP="00DC6C5E">
      <w:pPr>
        <w:autoSpaceDE w:val="0"/>
        <w:autoSpaceDN w:val="0"/>
        <w:adjustRightInd w:val="0"/>
        <w:spacing w:after="0" w:line="240" w:lineRule="auto"/>
        <w:rPr>
          <w:rFonts w:ascii="Times New Roman" w:hAnsi="Times New Roman" w:cs="Times New Roman"/>
          <w:b/>
          <w:bCs/>
          <w:sz w:val="28"/>
          <w:szCs w:val="28"/>
        </w:rPr>
      </w:pPr>
    </w:p>
    <w:p w:rsidR="00AB3297" w:rsidRDefault="00AB3297" w:rsidP="00AB3297">
      <w:pPr>
        <w:autoSpaceDE w:val="0"/>
        <w:autoSpaceDN w:val="0"/>
        <w:adjustRightInd w:val="0"/>
        <w:spacing w:after="0" w:line="240" w:lineRule="auto"/>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AB3297" w:rsidRPr="007C1B1D" w:rsidRDefault="00AB3297" w:rsidP="00AB3297">
      <w:pPr>
        <w:autoSpaceDE w:val="0"/>
        <w:autoSpaceDN w:val="0"/>
        <w:adjustRightInd w:val="0"/>
        <w:spacing w:after="0" w:line="240" w:lineRule="auto"/>
        <w:rPr>
          <w:rFonts w:asciiTheme="majorBidi" w:hAnsiTheme="majorBidi" w:cstheme="majorBidi"/>
          <w:b/>
          <w:bCs/>
          <w:sz w:val="24"/>
          <w:szCs w:val="24"/>
        </w:rPr>
      </w:pPr>
    </w:p>
    <w:p w:rsidR="00DC6C5E" w:rsidRPr="00DC6C5E" w:rsidRDefault="00DC6C5E" w:rsidP="00DC6C5E">
      <w:pPr>
        <w:autoSpaceDE w:val="0"/>
        <w:autoSpaceDN w:val="0"/>
        <w:adjustRightInd w:val="0"/>
        <w:spacing w:after="0" w:line="240" w:lineRule="auto"/>
        <w:rPr>
          <w:rFonts w:asciiTheme="majorBidi" w:hAnsiTheme="majorBidi" w:cstheme="majorBidi"/>
          <w:sz w:val="24"/>
          <w:szCs w:val="24"/>
        </w:rPr>
      </w:pPr>
      <w:r w:rsidRPr="00DC6C5E">
        <w:rPr>
          <w:rFonts w:asciiTheme="majorBidi" w:hAnsiTheme="majorBidi" w:cstheme="majorBidi"/>
          <w:sz w:val="24"/>
          <w:szCs w:val="24"/>
        </w:rPr>
        <w:t xml:space="preserve">Le but de la présente étude est d'évaluer la sensibilité antimicrobienne des isolats de </w:t>
      </w:r>
      <w:proofErr w:type="spellStart"/>
      <w:r w:rsidRPr="00DC6C5E">
        <w:rPr>
          <w:rFonts w:asciiTheme="majorBidi" w:hAnsiTheme="majorBidi" w:cstheme="majorBidi"/>
          <w:sz w:val="24"/>
          <w:szCs w:val="24"/>
        </w:rPr>
        <w:t>Campylobacter</w:t>
      </w:r>
      <w:proofErr w:type="spellEnd"/>
      <w:r w:rsidRPr="00DC6C5E">
        <w:rPr>
          <w:rFonts w:asciiTheme="majorBidi" w:hAnsiTheme="majorBidi" w:cstheme="majorBidi"/>
          <w:sz w:val="24"/>
          <w:szCs w:val="24"/>
        </w:rPr>
        <w:t xml:space="preserve"> </w:t>
      </w:r>
      <w:proofErr w:type="spellStart"/>
      <w:r w:rsidRPr="00DC6C5E">
        <w:rPr>
          <w:rFonts w:asciiTheme="majorBidi" w:hAnsiTheme="majorBidi" w:cstheme="majorBidi"/>
          <w:sz w:val="24"/>
          <w:szCs w:val="24"/>
        </w:rPr>
        <w:t>thermotolérants</w:t>
      </w:r>
      <w:proofErr w:type="spellEnd"/>
      <w:r w:rsidRPr="00DC6C5E">
        <w:rPr>
          <w:rFonts w:asciiTheme="majorBidi" w:hAnsiTheme="majorBidi" w:cstheme="majorBidi"/>
          <w:sz w:val="24"/>
          <w:szCs w:val="24"/>
        </w:rPr>
        <w:t xml:space="preserve"> précédemment isolés à partir des peaux de cou de poulets de chair prélevées après l’étape du ressuage. La sensibilité aux médicaments antimicrobiens est testée à l’égard de 12 antibiotiques. Nos résultats révèlent que des taux de résistance très élevés, allant de 80% à 100%, sont enregistrés à l’encontre de la </w:t>
      </w:r>
      <w:proofErr w:type="spellStart"/>
      <w:r w:rsidRPr="00DC6C5E">
        <w:rPr>
          <w:rFonts w:asciiTheme="majorBidi" w:hAnsiTheme="majorBidi" w:cstheme="majorBidi"/>
          <w:sz w:val="24"/>
          <w:szCs w:val="24"/>
        </w:rPr>
        <w:t>ciprofloxacine</w:t>
      </w:r>
      <w:proofErr w:type="spellEnd"/>
      <w:r w:rsidRPr="00DC6C5E">
        <w:rPr>
          <w:rFonts w:asciiTheme="majorBidi" w:hAnsiTheme="majorBidi" w:cstheme="majorBidi"/>
          <w:sz w:val="24"/>
          <w:szCs w:val="24"/>
        </w:rPr>
        <w:t xml:space="preserve">, du </w:t>
      </w:r>
      <w:proofErr w:type="spellStart"/>
      <w:r w:rsidRPr="00DC6C5E">
        <w:rPr>
          <w:rFonts w:asciiTheme="majorBidi" w:hAnsiTheme="majorBidi" w:cstheme="majorBidi"/>
          <w:sz w:val="24"/>
          <w:szCs w:val="24"/>
        </w:rPr>
        <w:t>céfotaxime</w:t>
      </w:r>
      <w:proofErr w:type="spellEnd"/>
      <w:r w:rsidRPr="00DC6C5E">
        <w:rPr>
          <w:rFonts w:asciiTheme="majorBidi" w:hAnsiTheme="majorBidi" w:cstheme="majorBidi"/>
          <w:sz w:val="24"/>
          <w:szCs w:val="24"/>
        </w:rPr>
        <w:t xml:space="preserve">, de l’ampicilline, de l’érythromycine, de l’ampicilline, de l’acide </w:t>
      </w:r>
      <w:proofErr w:type="spellStart"/>
      <w:r w:rsidRPr="00DC6C5E">
        <w:rPr>
          <w:rFonts w:asciiTheme="majorBidi" w:hAnsiTheme="majorBidi" w:cstheme="majorBidi"/>
          <w:sz w:val="24"/>
          <w:szCs w:val="24"/>
        </w:rPr>
        <w:t>nalidixique</w:t>
      </w:r>
      <w:proofErr w:type="spellEnd"/>
      <w:r w:rsidRPr="00DC6C5E">
        <w:rPr>
          <w:rFonts w:asciiTheme="majorBidi" w:hAnsiTheme="majorBidi" w:cstheme="majorBidi"/>
          <w:sz w:val="24"/>
          <w:szCs w:val="24"/>
        </w:rPr>
        <w:t xml:space="preserve">, de la tétracycline et de la </w:t>
      </w:r>
      <w:proofErr w:type="spellStart"/>
      <w:r w:rsidRPr="00DC6C5E">
        <w:rPr>
          <w:rFonts w:asciiTheme="majorBidi" w:hAnsiTheme="majorBidi" w:cstheme="majorBidi"/>
          <w:sz w:val="24"/>
          <w:szCs w:val="24"/>
        </w:rPr>
        <w:t>tobramycine</w:t>
      </w:r>
      <w:proofErr w:type="spellEnd"/>
      <w:r w:rsidRPr="00DC6C5E">
        <w:rPr>
          <w:rFonts w:asciiTheme="majorBidi" w:hAnsiTheme="majorBidi" w:cstheme="majorBidi"/>
          <w:sz w:val="24"/>
          <w:szCs w:val="24"/>
        </w:rPr>
        <w:t xml:space="preserve">. Une plus faible prévalence est observée pour la </w:t>
      </w:r>
      <w:proofErr w:type="spellStart"/>
      <w:r w:rsidRPr="00DC6C5E">
        <w:rPr>
          <w:rFonts w:asciiTheme="majorBidi" w:hAnsiTheme="majorBidi" w:cstheme="majorBidi"/>
          <w:sz w:val="24"/>
          <w:szCs w:val="24"/>
        </w:rPr>
        <w:t>kanamycine</w:t>
      </w:r>
      <w:proofErr w:type="spellEnd"/>
      <w:r w:rsidRPr="00DC6C5E">
        <w:rPr>
          <w:rFonts w:asciiTheme="majorBidi" w:hAnsiTheme="majorBidi" w:cstheme="majorBidi"/>
          <w:sz w:val="24"/>
          <w:szCs w:val="24"/>
        </w:rPr>
        <w:t xml:space="preserve"> (50%), la streptomycine (50%) et le chloramphénicol (10%). Toutefois, aucune résistance à la gentamicine n’est enregistrée. Cette étude contribue à actualiser les informations sur la résistance aux antimicrobiens des </w:t>
      </w:r>
      <w:proofErr w:type="spellStart"/>
      <w:r w:rsidRPr="00DC6C5E">
        <w:rPr>
          <w:rFonts w:asciiTheme="majorBidi" w:hAnsiTheme="majorBidi" w:cstheme="majorBidi"/>
          <w:sz w:val="24"/>
          <w:szCs w:val="24"/>
        </w:rPr>
        <w:t>campylobactéries</w:t>
      </w:r>
      <w:proofErr w:type="spellEnd"/>
      <w:r w:rsidRPr="00DC6C5E">
        <w:rPr>
          <w:rFonts w:asciiTheme="majorBidi" w:hAnsiTheme="majorBidi" w:cstheme="majorBidi"/>
          <w:sz w:val="24"/>
          <w:szCs w:val="24"/>
        </w:rPr>
        <w:t xml:space="preserve"> issues de poulets de chair en Algérie ; révélant la persistance des CTT </w:t>
      </w:r>
      <w:proofErr w:type="spellStart"/>
      <w:r w:rsidRPr="00DC6C5E">
        <w:rPr>
          <w:rFonts w:asciiTheme="majorBidi" w:hAnsiTheme="majorBidi" w:cstheme="majorBidi"/>
          <w:sz w:val="24"/>
          <w:szCs w:val="24"/>
        </w:rPr>
        <w:t>multirésistants</w:t>
      </w:r>
      <w:proofErr w:type="spellEnd"/>
      <w:r w:rsidRPr="00DC6C5E">
        <w:rPr>
          <w:rFonts w:asciiTheme="majorBidi" w:hAnsiTheme="majorBidi" w:cstheme="majorBidi"/>
          <w:sz w:val="24"/>
          <w:szCs w:val="24"/>
        </w:rPr>
        <w:t xml:space="preserve"> aux antibiotiques et soulignant la nécessité d'une meilleure surveillance accompagnée d'une réglementation rigoureuse quant à l'utilisation des antimicrobiens.</w:t>
      </w:r>
    </w:p>
    <w:p w:rsidR="00DC6C5E" w:rsidRPr="00DC6C5E" w:rsidRDefault="00DC6C5E" w:rsidP="00DC6C5E">
      <w:pPr>
        <w:autoSpaceDE w:val="0"/>
        <w:autoSpaceDN w:val="0"/>
        <w:adjustRightInd w:val="0"/>
        <w:spacing w:after="0" w:line="240" w:lineRule="auto"/>
        <w:rPr>
          <w:rFonts w:asciiTheme="majorBidi" w:hAnsiTheme="majorBidi" w:cstheme="majorBidi"/>
          <w:sz w:val="24"/>
          <w:szCs w:val="24"/>
        </w:rPr>
      </w:pPr>
    </w:p>
    <w:p w:rsidR="00DC6C5E" w:rsidRPr="00DC6C5E" w:rsidRDefault="00DC6C5E" w:rsidP="00DC6C5E">
      <w:pPr>
        <w:autoSpaceDE w:val="0"/>
        <w:autoSpaceDN w:val="0"/>
        <w:adjustRightInd w:val="0"/>
        <w:spacing w:after="0" w:line="240" w:lineRule="auto"/>
        <w:rPr>
          <w:rFonts w:asciiTheme="majorBidi" w:hAnsiTheme="majorBidi" w:cstheme="majorBidi"/>
          <w:sz w:val="24"/>
          <w:szCs w:val="24"/>
        </w:rPr>
      </w:pPr>
    </w:p>
    <w:p w:rsidR="00DC6C5E" w:rsidRPr="00DC6C5E" w:rsidRDefault="00DC6C5E" w:rsidP="00DC6C5E">
      <w:pPr>
        <w:autoSpaceDE w:val="0"/>
        <w:autoSpaceDN w:val="0"/>
        <w:adjustRightInd w:val="0"/>
        <w:spacing w:after="0" w:line="240" w:lineRule="auto"/>
        <w:rPr>
          <w:rFonts w:asciiTheme="majorBidi" w:hAnsiTheme="majorBidi" w:cstheme="majorBidi"/>
          <w:sz w:val="24"/>
          <w:szCs w:val="24"/>
        </w:rPr>
      </w:pPr>
    </w:p>
    <w:p w:rsidR="00DC6C5E" w:rsidRPr="00DC6C5E" w:rsidRDefault="00DC6C5E" w:rsidP="00DC6C5E">
      <w:pPr>
        <w:autoSpaceDE w:val="0"/>
        <w:autoSpaceDN w:val="0"/>
        <w:adjustRightInd w:val="0"/>
        <w:spacing w:after="0" w:line="240" w:lineRule="auto"/>
        <w:rPr>
          <w:rFonts w:asciiTheme="majorBidi" w:hAnsiTheme="majorBidi" w:cstheme="majorBidi"/>
          <w:sz w:val="24"/>
          <w:szCs w:val="24"/>
        </w:rPr>
      </w:pPr>
      <w:r w:rsidRPr="00DC6C5E">
        <w:rPr>
          <w:rFonts w:asciiTheme="majorBidi" w:hAnsiTheme="majorBidi" w:cstheme="majorBidi"/>
          <w:b/>
          <w:bCs/>
          <w:sz w:val="24"/>
          <w:szCs w:val="24"/>
        </w:rPr>
        <w:t>Abstract</w:t>
      </w:r>
      <w:r w:rsidRPr="00DC6C5E">
        <w:rPr>
          <w:rFonts w:asciiTheme="majorBidi" w:hAnsiTheme="majorBidi" w:cstheme="majorBidi"/>
          <w:sz w:val="24"/>
          <w:szCs w:val="24"/>
        </w:rPr>
        <w:t xml:space="preserve"> :</w:t>
      </w:r>
    </w:p>
    <w:p w:rsidR="00DC6C5E" w:rsidRPr="00DC6C5E" w:rsidRDefault="00DC6C5E" w:rsidP="00DC6C5E">
      <w:pPr>
        <w:autoSpaceDE w:val="0"/>
        <w:autoSpaceDN w:val="0"/>
        <w:adjustRightInd w:val="0"/>
        <w:spacing w:after="0" w:line="240" w:lineRule="auto"/>
        <w:rPr>
          <w:rFonts w:asciiTheme="majorBidi" w:hAnsiTheme="majorBidi" w:cstheme="majorBidi"/>
          <w:sz w:val="24"/>
          <w:szCs w:val="24"/>
        </w:rPr>
      </w:pPr>
    </w:p>
    <w:p w:rsidR="003A35DD" w:rsidRPr="00DC6C5E" w:rsidRDefault="00DC6C5E" w:rsidP="00DC6C5E">
      <w:pPr>
        <w:autoSpaceDE w:val="0"/>
        <w:autoSpaceDN w:val="0"/>
        <w:adjustRightInd w:val="0"/>
        <w:spacing w:after="0" w:line="240" w:lineRule="auto"/>
        <w:rPr>
          <w:lang w:val="en-US"/>
        </w:rPr>
      </w:pPr>
      <w:r w:rsidRPr="00DC6C5E">
        <w:rPr>
          <w:rFonts w:asciiTheme="majorBidi" w:hAnsiTheme="majorBidi" w:cstheme="majorBidi"/>
          <w:sz w:val="24"/>
          <w:szCs w:val="24"/>
          <w:lang w:val="en-US"/>
        </w:rPr>
        <w:t xml:space="preserve">The purpose of this study is to evaluate the antimicrobial susceptibility of </w:t>
      </w:r>
      <w:proofErr w:type="spellStart"/>
      <w:r w:rsidRPr="00DC6C5E">
        <w:rPr>
          <w:rFonts w:asciiTheme="majorBidi" w:hAnsiTheme="majorBidi" w:cstheme="majorBidi"/>
          <w:sz w:val="24"/>
          <w:szCs w:val="24"/>
          <w:lang w:val="en-US"/>
        </w:rPr>
        <w:t>thermotolerant</w:t>
      </w:r>
      <w:proofErr w:type="spellEnd"/>
      <w:r w:rsidRPr="00DC6C5E">
        <w:rPr>
          <w:rFonts w:asciiTheme="majorBidi" w:hAnsiTheme="majorBidi" w:cstheme="majorBidi"/>
          <w:sz w:val="24"/>
          <w:szCs w:val="24"/>
          <w:lang w:val="en-US"/>
        </w:rPr>
        <w:t xml:space="preserve"> Campylobacter isolates previously isolated from broiler neck skins collected after the chilling step. Antimicrobial drug susceptibility is tested for 12 antibiotics. Our results show that very high levels of resistance, ranging from 80% to 100%, are recorded against ciprofloxacin, </w:t>
      </w:r>
      <w:proofErr w:type="spellStart"/>
      <w:r w:rsidRPr="00DC6C5E">
        <w:rPr>
          <w:rFonts w:asciiTheme="majorBidi" w:hAnsiTheme="majorBidi" w:cstheme="majorBidi"/>
          <w:sz w:val="24"/>
          <w:szCs w:val="24"/>
          <w:lang w:val="en-US"/>
        </w:rPr>
        <w:t>cefotaxime</w:t>
      </w:r>
      <w:proofErr w:type="spellEnd"/>
      <w:r w:rsidRPr="00DC6C5E">
        <w:rPr>
          <w:rFonts w:asciiTheme="majorBidi" w:hAnsiTheme="majorBidi" w:cstheme="majorBidi"/>
          <w:sz w:val="24"/>
          <w:szCs w:val="24"/>
          <w:lang w:val="en-US"/>
        </w:rPr>
        <w:t xml:space="preserve">, </w:t>
      </w:r>
      <w:proofErr w:type="spellStart"/>
      <w:r w:rsidRPr="00DC6C5E">
        <w:rPr>
          <w:rFonts w:asciiTheme="majorBidi" w:hAnsiTheme="majorBidi" w:cstheme="majorBidi"/>
          <w:sz w:val="24"/>
          <w:szCs w:val="24"/>
          <w:lang w:val="en-US"/>
        </w:rPr>
        <w:t>ampicillin</w:t>
      </w:r>
      <w:proofErr w:type="spellEnd"/>
      <w:r w:rsidRPr="00DC6C5E">
        <w:rPr>
          <w:rFonts w:asciiTheme="majorBidi" w:hAnsiTheme="majorBidi" w:cstheme="majorBidi"/>
          <w:sz w:val="24"/>
          <w:szCs w:val="24"/>
          <w:lang w:val="en-US"/>
        </w:rPr>
        <w:t xml:space="preserve">, erythromycin, </w:t>
      </w:r>
      <w:proofErr w:type="spellStart"/>
      <w:r w:rsidRPr="00DC6C5E">
        <w:rPr>
          <w:rFonts w:asciiTheme="majorBidi" w:hAnsiTheme="majorBidi" w:cstheme="majorBidi"/>
          <w:sz w:val="24"/>
          <w:szCs w:val="24"/>
          <w:lang w:val="en-US"/>
        </w:rPr>
        <w:t>ampicillin</w:t>
      </w:r>
      <w:proofErr w:type="spellEnd"/>
      <w:r w:rsidRPr="00DC6C5E">
        <w:rPr>
          <w:rFonts w:asciiTheme="majorBidi" w:hAnsiTheme="majorBidi" w:cstheme="majorBidi"/>
          <w:sz w:val="24"/>
          <w:szCs w:val="24"/>
          <w:lang w:val="en-US"/>
        </w:rPr>
        <w:t xml:space="preserve">, </w:t>
      </w:r>
      <w:proofErr w:type="spellStart"/>
      <w:r w:rsidRPr="00DC6C5E">
        <w:rPr>
          <w:rFonts w:asciiTheme="majorBidi" w:hAnsiTheme="majorBidi" w:cstheme="majorBidi"/>
          <w:sz w:val="24"/>
          <w:szCs w:val="24"/>
          <w:lang w:val="en-US"/>
        </w:rPr>
        <w:t>nalidixic</w:t>
      </w:r>
      <w:proofErr w:type="spellEnd"/>
      <w:r w:rsidRPr="00DC6C5E">
        <w:rPr>
          <w:rFonts w:asciiTheme="majorBidi" w:hAnsiTheme="majorBidi" w:cstheme="majorBidi"/>
          <w:sz w:val="24"/>
          <w:szCs w:val="24"/>
          <w:lang w:val="en-US"/>
        </w:rPr>
        <w:t xml:space="preserve"> acid, tetracycline and </w:t>
      </w:r>
      <w:proofErr w:type="spellStart"/>
      <w:r w:rsidRPr="00DC6C5E">
        <w:rPr>
          <w:rFonts w:asciiTheme="majorBidi" w:hAnsiTheme="majorBidi" w:cstheme="majorBidi"/>
          <w:sz w:val="24"/>
          <w:szCs w:val="24"/>
          <w:lang w:val="en-US"/>
        </w:rPr>
        <w:t>tobramycin</w:t>
      </w:r>
      <w:proofErr w:type="spellEnd"/>
      <w:r w:rsidRPr="00DC6C5E">
        <w:rPr>
          <w:rFonts w:asciiTheme="majorBidi" w:hAnsiTheme="majorBidi" w:cstheme="majorBidi"/>
          <w:sz w:val="24"/>
          <w:szCs w:val="24"/>
          <w:lang w:val="en-US"/>
        </w:rPr>
        <w:t xml:space="preserve">. A lower prevalence is observed for </w:t>
      </w:r>
      <w:proofErr w:type="spellStart"/>
      <w:r w:rsidRPr="00DC6C5E">
        <w:rPr>
          <w:rFonts w:asciiTheme="majorBidi" w:hAnsiTheme="majorBidi" w:cstheme="majorBidi"/>
          <w:sz w:val="24"/>
          <w:szCs w:val="24"/>
          <w:lang w:val="en-US"/>
        </w:rPr>
        <w:t>kanamycin</w:t>
      </w:r>
      <w:proofErr w:type="spellEnd"/>
      <w:r w:rsidRPr="00DC6C5E">
        <w:rPr>
          <w:rFonts w:asciiTheme="majorBidi" w:hAnsiTheme="majorBidi" w:cstheme="majorBidi"/>
          <w:sz w:val="24"/>
          <w:szCs w:val="24"/>
          <w:lang w:val="en-US"/>
        </w:rPr>
        <w:t xml:space="preserve"> (50%), streptomycin (50%) and </w:t>
      </w:r>
      <w:proofErr w:type="spellStart"/>
      <w:r w:rsidRPr="00DC6C5E">
        <w:rPr>
          <w:rFonts w:asciiTheme="majorBidi" w:hAnsiTheme="majorBidi" w:cstheme="majorBidi"/>
          <w:sz w:val="24"/>
          <w:szCs w:val="24"/>
          <w:lang w:val="en-US"/>
        </w:rPr>
        <w:t>chloramphenicol</w:t>
      </w:r>
      <w:proofErr w:type="spellEnd"/>
      <w:r w:rsidRPr="00DC6C5E">
        <w:rPr>
          <w:rFonts w:asciiTheme="majorBidi" w:hAnsiTheme="majorBidi" w:cstheme="majorBidi"/>
          <w:sz w:val="24"/>
          <w:szCs w:val="24"/>
          <w:lang w:val="en-US"/>
        </w:rPr>
        <w:t xml:space="preserve"> (10%). However, no resistance to </w:t>
      </w:r>
      <w:proofErr w:type="spellStart"/>
      <w:r w:rsidRPr="00DC6C5E">
        <w:rPr>
          <w:rFonts w:asciiTheme="majorBidi" w:hAnsiTheme="majorBidi" w:cstheme="majorBidi"/>
          <w:sz w:val="24"/>
          <w:szCs w:val="24"/>
          <w:lang w:val="en-US"/>
        </w:rPr>
        <w:t>gentamicin</w:t>
      </w:r>
      <w:proofErr w:type="spellEnd"/>
      <w:r w:rsidRPr="00DC6C5E">
        <w:rPr>
          <w:rFonts w:asciiTheme="majorBidi" w:hAnsiTheme="majorBidi" w:cstheme="majorBidi"/>
          <w:sz w:val="24"/>
          <w:szCs w:val="24"/>
          <w:lang w:val="en-US"/>
        </w:rPr>
        <w:t xml:space="preserve"> is recorded. This study contributes to update information on the antimicrobial resistance of Campylobacter from broiler chickens in Algeria; revealing the persistence of multidrug resistant of CTT to antibiotics and highlighting the need for better surveillance accompanied by strict regulation of antimicrobial use.</w:t>
      </w:r>
    </w:p>
    <w:sectPr w:rsidR="003A35DD" w:rsidRPr="00DC6C5E"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2460D"/>
    <w:rsid w:val="003A35DD"/>
    <w:rsid w:val="00497418"/>
    <w:rsid w:val="004F65A9"/>
    <w:rsid w:val="00640974"/>
    <w:rsid w:val="00774EE2"/>
    <w:rsid w:val="0092460D"/>
    <w:rsid w:val="009D64C9"/>
    <w:rsid w:val="00AB3297"/>
    <w:rsid w:val="00D5722D"/>
    <w:rsid w:val="00DC6C5E"/>
    <w:rsid w:val="00DD057E"/>
    <w:rsid w:val="00DD7382"/>
    <w:rsid w:val="00F75A2A"/>
    <w:rsid w:val="00F92C0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2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350</Words>
  <Characters>1930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h.rafa</dc:creator>
  <cp:keywords/>
  <dc:description/>
  <cp:lastModifiedBy>h.rafa</cp:lastModifiedBy>
  <cp:revision>9</cp:revision>
  <dcterms:created xsi:type="dcterms:W3CDTF">2020-12-08T08:24:00Z</dcterms:created>
  <dcterms:modified xsi:type="dcterms:W3CDTF">2020-12-09T08:50:00Z</dcterms:modified>
</cp:coreProperties>
</file>