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63" w:rsidRDefault="00B70963" w:rsidP="00B7096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B70963">
        <w:rPr>
          <w:rFonts w:asciiTheme="majorBidi" w:hAnsiTheme="majorBidi" w:cstheme="majorBidi"/>
          <w:b/>
          <w:bCs/>
          <w:color w:val="000000"/>
          <w:sz w:val="28"/>
          <w:szCs w:val="28"/>
          <w:shd w:val="clear" w:color="auto" w:fill="FFFFFF"/>
        </w:rPr>
        <w:t>Mezali</w:t>
      </w:r>
      <w:proofErr w:type="spellEnd"/>
      <w:r w:rsidRPr="00B70963">
        <w:rPr>
          <w:rFonts w:asciiTheme="majorBidi" w:hAnsiTheme="majorBidi" w:cstheme="majorBidi"/>
          <w:b/>
          <w:bCs/>
          <w:color w:val="000000"/>
          <w:sz w:val="28"/>
          <w:szCs w:val="28"/>
          <w:shd w:val="clear" w:color="auto" w:fill="FFFFFF"/>
        </w:rPr>
        <w:t xml:space="preserve"> Lynda</w:t>
      </w:r>
    </w:p>
    <w:p w:rsidR="00B70963" w:rsidRDefault="00B70963" w:rsidP="00B70963">
      <w:pPr>
        <w:jc w:val="center"/>
        <w:rPr>
          <w:rFonts w:asciiTheme="majorBidi" w:hAnsiTheme="majorBidi" w:cstheme="majorBidi"/>
          <w:b/>
          <w:bCs/>
          <w:color w:val="000000"/>
          <w:sz w:val="28"/>
          <w:szCs w:val="28"/>
          <w:shd w:val="clear" w:color="auto" w:fill="FFFFFF"/>
        </w:rPr>
      </w:pPr>
      <w:r w:rsidRPr="00B70963">
        <w:rPr>
          <w:rFonts w:asciiTheme="majorBidi" w:hAnsiTheme="majorBidi" w:cstheme="majorBidi"/>
          <w:b/>
          <w:bCs/>
          <w:color w:val="000000"/>
          <w:sz w:val="28"/>
          <w:szCs w:val="28"/>
          <w:shd w:val="clear" w:color="auto" w:fill="FFFFFF"/>
        </w:rPr>
        <w:t xml:space="preserve">Prévalence et </w:t>
      </w:r>
      <w:proofErr w:type="spellStart"/>
      <w:r w:rsidRPr="00B70963">
        <w:rPr>
          <w:rFonts w:asciiTheme="majorBidi" w:hAnsiTheme="majorBidi" w:cstheme="majorBidi"/>
          <w:b/>
          <w:bCs/>
          <w:color w:val="000000"/>
          <w:sz w:val="28"/>
          <w:szCs w:val="28"/>
          <w:shd w:val="clear" w:color="auto" w:fill="FFFFFF"/>
        </w:rPr>
        <w:t>antibiorésistance</w:t>
      </w:r>
      <w:proofErr w:type="spellEnd"/>
      <w:r w:rsidRPr="00B70963">
        <w:rPr>
          <w:rFonts w:asciiTheme="majorBidi" w:hAnsiTheme="majorBidi" w:cstheme="majorBidi"/>
          <w:b/>
          <w:bCs/>
          <w:color w:val="000000"/>
          <w:sz w:val="28"/>
          <w:szCs w:val="28"/>
          <w:shd w:val="clear" w:color="auto" w:fill="FFFFFF"/>
        </w:rPr>
        <w:t xml:space="preserve"> des souches de salmonella </w:t>
      </w:r>
      <w:proofErr w:type="spellStart"/>
      <w:r w:rsidRPr="00B70963">
        <w:rPr>
          <w:rFonts w:asciiTheme="majorBidi" w:hAnsiTheme="majorBidi" w:cstheme="majorBidi"/>
          <w:b/>
          <w:bCs/>
          <w:color w:val="000000"/>
          <w:sz w:val="28"/>
          <w:szCs w:val="28"/>
          <w:shd w:val="clear" w:color="auto" w:fill="FFFFFF"/>
        </w:rPr>
        <w:t>spp</w:t>
      </w:r>
      <w:proofErr w:type="spellEnd"/>
      <w:r w:rsidRPr="00B70963">
        <w:rPr>
          <w:rFonts w:asciiTheme="majorBidi" w:hAnsiTheme="majorBidi" w:cstheme="majorBidi"/>
          <w:b/>
          <w:bCs/>
          <w:color w:val="000000"/>
          <w:sz w:val="28"/>
          <w:szCs w:val="28"/>
          <w:shd w:val="clear" w:color="auto" w:fill="FFFFFF"/>
        </w:rPr>
        <w:t xml:space="preserve">. </w:t>
      </w:r>
      <w:proofErr w:type="gramStart"/>
      <w:r w:rsidRPr="00B70963">
        <w:rPr>
          <w:rFonts w:asciiTheme="majorBidi" w:hAnsiTheme="majorBidi" w:cstheme="majorBidi"/>
          <w:b/>
          <w:bCs/>
          <w:color w:val="000000"/>
          <w:sz w:val="28"/>
          <w:szCs w:val="28"/>
          <w:shd w:val="clear" w:color="auto" w:fill="FFFFFF"/>
        </w:rPr>
        <w:t>isolées</w:t>
      </w:r>
      <w:proofErr w:type="gramEnd"/>
      <w:r w:rsidRPr="00B70963">
        <w:rPr>
          <w:rFonts w:asciiTheme="majorBidi" w:hAnsiTheme="majorBidi" w:cstheme="majorBidi"/>
          <w:b/>
          <w:bCs/>
          <w:color w:val="000000"/>
          <w:sz w:val="28"/>
          <w:szCs w:val="28"/>
          <w:shd w:val="clear" w:color="auto" w:fill="FFFFFF"/>
        </w:rPr>
        <w:t xml:space="preserve"> à partir de différentes matrices alimentaires dans la wilaya d’Alger </w:t>
      </w:r>
    </w:p>
    <w:p w:rsidR="00B70963" w:rsidRDefault="00B70963" w:rsidP="00B7096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B70963" w:rsidRDefault="00B70963" w:rsidP="00B70963">
      <w:pPr>
        <w:jc w:val="center"/>
        <w:rPr>
          <w:rFonts w:asciiTheme="majorBidi" w:hAnsiTheme="majorBidi" w:cstheme="majorBidi"/>
          <w:b/>
          <w:bCs/>
          <w:color w:val="000000"/>
          <w:sz w:val="28"/>
          <w:szCs w:val="28"/>
          <w:shd w:val="clear" w:color="auto" w:fill="FFFFFF"/>
        </w:rPr>
      </w:pPr>
    </w:p>
    <w:p w:rsidR="00B70963" w:rsidRDefault="00B70963" w:rsidP="00B70963">
      <w:pPr>
        <w:rPr>
          <w:rFonts w:asciiTheme="majorBidi" w:hAnsiTheme="majorBidi" w:cstheme="majorBidi"/>
          <w:sz w:val="24"/>
          <w:szCs w:val="24"/>
        </w:rPr>
      </w:pPr>
      <w:r w:rsidRPr="00B70963">
        <w:rPr>
          <w:rFonts w:asciiTheme="majorBidi" w:hAnsiTheme="majorBidi" w:cstheme="majorBidi"/>
          <w:b/>
          <w:bCs/>
          <w:sz w:val="24"/>
          <w:szCs w:val="24"/>
        </w:rPr>
        <w:t>Résumé</w:t>
      </w:r>
      <w:r w:rsidRPr="00B70963">
        <w:rPr>
          <w:rFonts w:asciiTheme="majorBidi" w:hAnsiTheme="majorBidi" w:cstheme="majorBidi"/>
          <w:sz w:val="24"/>
          <w:szCs w:val="24"/>
        </w:rPr>
        <w:t xml:space="preserve"> : </w:t>
      </w:r>
    </w:p>
    <w:p w:rsidR="00B70963" w:rsidRDefault="00B70963" w:rsidP="00B70963">
      <w:pPr>
        <w:rPr>
          <w:rFonts w:asciiTheme="majorBidi" w:hAnsiTheme="majorBidi" w:cstheme="majorBidi"/>
          <w:sz w:val="24"/>
          <w:szCs w:val="24"/>
          <w:lang w:val="en-US"/>
        </w:rPr>
      </w:pPr>
      <w:r w:rsidRPr="00B70963">
        <w:rPr>
          <w:rFonts w:asciiTheme="majorBidi" w:hAnsiTheme="majorBidi" w:cstheme="majorBidi"/>
          <w:sz w:val="24"/>
          <w:szCs w:val="24"/>
        </w:rPr>
        <w:t xml:space="preserve">Les Salmonella responsables de toxi-infections alimentaires posent un problème aussi bien pour les pays industrialisés que pour les pays en voie de développement. Cette étude a pour objet la détermination de la prévalence des souches de Salmonella </w:t>
      </w:r>
      <w:proofErr w:type="spellStart"/>
      <w:r w:rsidRPr="00B70963">
        <w:rPr>
          <w:rFonts w:asciiTheme="majorBidi" w:hAnsiTheme="majorBidi" w:cstheme="majorBidi"/>
          <w:sz w:val="24"/>
          <w:szCs w:val="24"/>
        </w:rPr>
        <w:t>spp</w:t>
      </w:r>
      <w:proofErr w:type="spellEnd"/>
      <w:r w:rsidRPr="00B70963">
        <w:rPr>
          <w:rFonts w:asciiTheme="majorBidi" w:hAnsiTheme="majorBidi" w:cstheme="majorBidi"/>
          <w:sz w:val="24"/>
          <w:szCs w:val="24"/>
        </w:rPr>
        <w:t xml:space="preserve">. </w:t>
      </w:r>
      <w:proofErr w:type="gramStart"/>
      <w:r w:rsidRPr="00B70963">
        <w:rPr>
          <w:rFonts w:asciiTheme="majorBidi" w:hAnsiTheme="majorBidi" w:cstheme="majorBidi"/>
          <w:sz w:val="24"/>
          <w:szCs w:val="24"/>
        </w:rPr>
        <w:t>isolées</w:t>
      </w:r>
      <w:proofErr w:type="gramEnd"/>
      <w:r w:rsidRPr="00B70963">
        <w:rPr>
          <w:rFonts w:asciiTheme="majorBidi" w:hAnsiTheme="majorBidi" w:cstheme="majorBidi"/>
          <w:sz w:val="24"/>
          <w:szCs w:val="24"/>
        </w:rPr>
        <w:t xml:space="preserve"> à partir de denrées alimentaires d’origine animale dans la région d’Alger, parallèlement à l’identification sérologique et à l’étude de la sensibilité de ces souches aux antibiotiques. Suite à l’analyse de 504 prélèvements recueillis au niveau de différents points de vente de détail, 69 souches de Salmonella </w:t>
      </w:r>
      <w:proofErr w:type="spellStart"/>
      <w:r w:rsidRPr="00B70963">
        <w:rPr>
          <w:rFonts w:asciiTheme="majorBidi" w:hAnsiTheme="majorBidi" w:cstheme="majorBidi"/>
          <w:sz w:val="24"/>
          <w:szCs w:val="24"/>
        </w:rPr>
        <w:t>spp</w:t>
      </w:r>
      <w:proofErr w:type="spellEnd"/>
      <w:r w:rsidRPr="00B70963">
        <w:rPr>
          <w:rFonts w:asciiTheme="majorBidi" w:hAnsiTheme="majorBidi" w:cstheme="majorBidi"/>
          <w:sz w:val="24"/>
          <w:szCs w:val="24"/>
        </w:rPr>
        <w:t xml:space="preserve">. </w:t>
      </w:r>
      <w:proofErr w:type="gramStart"/>
      <w:r w:rsidRPr="00B70963">
        <w:rPr>
          <w:rFonts w:asciiTheme="majorBidi" w:hAnsiTheme="majorBidi" w:cstheme="majorBidi"/>
          <w:sz w:val="24"/>
          <w:szCs w:val="24"/>
        </w:rPr>
        <w:t>ont</w:t>
      </w:r>
      <w:proofErr w:type="gramEnd"/>
      <w:r w:rsidRPr="00B70963">
        <w:rPr>
          <w:rFonts w:asciiTheme="majorBidi" w:hAnsiTheme="majorBidi" w:cstheme="majorBidi"/>
          <w:sz w:val="24"/>
          <w:szCs w:val="24"/>
        </w:rPr>
        <w:t xml:space="preserve"> été isolées, soit une prévalence globale de 13.69%. La répartition des ces souches sur les cinq catégories d’aliments prédéfinies a démontré un taux de contamination de 25.69% pour les viandes et les produits carnés crus, 17.97% pour les viandes blanches et leurs produits dérivés crus, 3.57% pour les produits de la pêche crus, 2.77% pour le lait et les produits laitiers, et 4.54% pour les produits divers. Les tests sérologiques qui nous ont permis d’identifier 22 </w:t>
      </w:r>
      <w:proofErr w:type="spellStart"/>
      <w:r w:rsidRPr="00B70963">
        <w:rPr>
          <w:rFonts w:asciiTheme="majorBidi" w:hAnsiTheme="majorBidi" w:cstheme="majorBidi"/>
          <w:sz w:val="24"/>
          <w:szCs w:val="24"/>
        </w:rPr>
        <w:t>sérovars</w:t>
      </w:r>
      <w:proofErr w:type="spellEnd"/>
      <w:r w:rsidRPr="00B70963">
        <w:rPr>
          <w:rFonts w:asciiTheme="majorBidi" w:hAnsiTheme="majorBidi" w:cstheme="majorBidi"/>
          <w:sz w:val="24"/>
          <w:szCs w:val="24"/>
        </w:rPr>
        <w:t xml:space="preserve"> distincts, classent le </w:t>
      </w:r>
      <w:proofErr w:type="spellStart"/>
      <w:r w:rsidRPr="00B70963">
        <w:rPr>
          <w:rFonts w:asciiTheme="majorBidi" w:hAnsiTheme="majorBidi" w:cstheme="majorBidi"/>
          <w:sz w:val="24"/>
          <w:szCs w:val="24"/>
        </w:rPr>
        <w:t>sérovar</w:t>
      </w:r>
      <w:proofErr w:type="spellEnd"/>
      <w:r w:rsidRPr="00B70963">
        <w:rPr>
          <w:rFonts w:asciiTheme="majorBidi" w:hAnsiTheme="majorBidi" w:cstheme="majorBidi"/>
          <w:sz w:val="24"/>
          <w:szCs w:val="24"/>
        </w:rPr>
        <w:t xml:space="preserve"> </w:t>
      </w:r>
      <w:proofErr w:type="spellStart"/>
      <w:r w:rsidRPr="00B70963">
        <w:rPr>
          <w:rFonts w:asciiTheme="majorBidi" w:hAnsiTheme="majorBidi" w:cstheme="majorBidi"/>
          <w:sz w:val="24"/>
          <w:szCs w:val="24"/>
        </w:rPr>
        <w:t>Anatum</w:t>
      </w:r>
      <w:proofErr w:type="spellEnd"/>
      <w:r w:rsidRPr="00B70963">
        <w:rPr>
          <w:rFonts w:asciiTheme="majorBidi" w:hAnsiTheme="majorBidi" w:cstheme="majorBidi"/>
          <w:sz w:val="24"/>
          <w:szCs w:val="24"/>
        </w:rPr>
        <w:t xml:space="preserve"> au 1er rang avec une prévalence de 13.04%. </w:t>
      </w:r>
      <w:proofErr w:type="spellStart"/>
      <w:r w:rsidRPr="00B70963">
        <w:rPr>
          <w:rFonts w:asciiTheme="majorBidi" w:hAnsiTheme="majorBidi" w:cstheme="majorBidi"/>
          <w:sz w:val="24"/>
          <w:szCs w:val="24"/>
        </w:rPr>
        <w:t>Anatum</w:t>
      </w:r>
      <w:proofErr w:type="spellEnd"/>
      <w:r w:rsidRPr="00B70963">
        <w:rPr>
          <w:rFonts w:asciiTheme="majorBidi" w:hAnsiTheme="majorBidi" w:cstheme="majorBidi"/>
          <w:sz w:val="24"/>
          <w:szCs w:val="24"/>
        </w:rPr>
        <w:t xml:space="preserve"> est également le </w:t>
      </w:r>
      <w:proofErr w:type="spellStart"/>
      <w:r w:rsidRPr="00B70963">
        <w:rPr>
          <w:rFonts w:asciiTheme="majorBidi" w:hAnsiTheme="majorBidi" w:cstheme="majorBidi"/>
          <w:sz w:val="24"/>
          <w:szCs w:val="24"/>
        </w:rPr>
        <w:t>sérovar</w:t>
      </w:r>
      <w:proofErr w:type="spellEnd"/>
      <w:r w:rsidRPr="00B70963">
        <w:rPr>
          <w:rFonts w:asciiTheme="majorBidi" w:hAnsiTheme="majorBidi" w:cstheme="majorBidi"/>
          <w:sz w:val="24"/>
          <w:szCs w:val="24"/>
        </w:rPr>
        <w:t xml:space="preserve"> qui prédomine dans la catégorie des viandes rouges avec un taux équivalent à 24.32% ; avec une prévalence de 21.74%, </w:t>
      </w:r>
      <w:proofErr w:type="spellStart"/>
      <w:r w:rsidRPr="00B70963">
        <w:rPr>
          <w:rFonts w:asciiTheme="majorBidi" w:hAnsiTheme="majorBidi" w:cstheme="majorBidi"/>
          <w:sz w:val="24"/>
          <w:szCs w:val="24"/>
        </w:rPr>
        <w:t>Enteritidis</w:t>
      </w:r>
      <w:proofErr w:type="spellEnd"/>
      <w:r w:rsidRPr="00B70963">
        <w:rPr>
          <w:rFonts w:asciiTheme="majorBidi" w:hAnsiTheme="majorBidi" w:cstheme="majorBidi"/>
          <w:sz w:val="24"/>
          <w:szCs w:val="24"/>
        </w:rPr>
        <w:t xml:space="preserve"> est le </w:t>
      </w:r>
      <w:proofErr w:type="spellStart"/>
      <w:r w:rsidRPr="00B70963">
        <w:rPr>
          <w:rFonts w:asciiTheme="majorBidi" w:hAnsiTheme="majorBidi" w:cstheme="majorBidi"/>
          <w:sz w:val="24"/>
          <w:szCs w:val="24"/>
        </w:rPr>
        <w:t>sérovar</w:t>
      </w:r>
      <w:proofErr w:type="spellEnd"/>
      <w:r w:rsidRPr="00B70963">
        <w:rPr>
          <w:rFonts w:asciiTheme="majorBidi" w:hAnsiTheme="majorBidi" w:cstheme="majorBidi"/>
          <w:sz w:val="24"/>
          <w:szCs w:val="24"/>
        </w:rPr>
        <w:t xml:space="preserve"> prédominant dans la catégorie des viandes de volaille. L’étude de la sensibilité des souches de Salmonella </w:t>
      </w:r>
      <w:proofErr w:type="spellStart"/>
      <w:r w:rsidRPr="00B70963">
        <w:rPr>
          <w:rFonts w:asciiTheme="majorBidi" w:hAnsiTheme="majorBidi" w:cstheme="majorBidi"/>
          <w:sz w:val="24"/>
          <w:szCs w:val="24"/>
        </w:rPr>
        <w:t>spp</w:t>
      </w:r>
      <w:proofErr w:type="spellEnd"/>
      <w:r w:rsidRPr="00B70963">
        <w:rPr>
          <w:rFonts w:asciiTheme="majorBidi" w:hAnsiTheme="majorBidi" w:cstheme="majorBidi"/>
          <w:sz w:val="24"/>
          <w:szCs w:val="24"/>
        </w:rPr>
        <w:t xml:space="preserve">. vis-à-vis de 32 antibiotiques montre d’une part, qu’elles résistent à 13 antibiotiques (soit 40.62%) ; et que d’autre part, le taux de résistance à au moins un antibiotique (91.04%) et de </w:t>
      </w:r>
      <w:proofErr w:type="spellStart"/>
      <w:r w:rsidRPr="00B70963">
        <w:rPr>
          <w:rFonts w:asciiTheme="majorBidi" w:hAnsiTheme="majorBidi" w:cstheme="majorBidi"/>
          <w:sz w:val="24"/>
          <w:szCs w:val="24"/>
        </w:rPr>
        <w:t>multirésistance</w:t>
      </w:r>
      <w:proofErr w:type="spellEnd"/>
      <w:r w:rsidRPr="00B70963">
        <w:rPr>
          <w:rFonts w:asciiTheme="majorBidi" w:hAnsiTheme="majorBidi" w:cstheme="majorBidi"/>
          <w:sz w:val="24"/>
          <w:szCs w:val="24"/>
        </w:rPr>
        <w:t xml:space="preserve"> (31.34%) sont relativement élevés. Les sulfamides sont concernés avec un taux de résistance de 88.06%, suivis de la streptomycine et de l’acide </w:t>
      </w:r>
      <w:proofErr w:type="spellStart"/>
      <w:r w:rsidRPr="00B70963">
        <w:rPr>
          <w:rFonts w:asciiTheme="majorBidi" w:hAnsiTheme="majorBidi" w:cstheme="majorBidi"/>
          <w:sz w:val="24"/>
          <w:szCs w:val="24"/>
        </w:rPr>
        <w:t>nalidixique</w:t>
      </w:r>
      <w:proofErr w:type="spellEnd"/>
      <w:r w:rsidRPr="00B70963">
        <w:rPr>
          <w:rFonts w:asciiTheme="majorBidi" w:hAnsiTheme="majorBidi" w:cstheme="majorBidi"/>
          <w:sz w:val="24"/>
          <w:szCs w:val="24"/>
        </w:rPr>
        <w:t xml:space="preserve"> avec 16.41%, et de la tétracycline avec 11.94%. Les souches de Salmonella </w:t>
      </w:r>
      <w:proofErr w:type="spellStart"/>
      <w:r w:rsidRPr="00B70963">
        <w:rPr>
          <w:rFonts w:asciiTheme="majorBidi" w:hAnsiTheme="majorBidi" w:cstheme="majorBidi"/>
          <w:sz w:val="24"/>
          <w:szCs w:val="24"/>
        </w:rPr>
        <w:t>spp</w:t>
      </w:r>
      <w:proofErr w:type="spellEnd"/>
      <w:r w:rsidRPr="00B70963">
        <w:rPr>
          <w:rFonts w:asciiTheme="majorBidi" w:hAnsiTheme="majorBidi" w:cstheme="majorBidi"/>
          <w:sz w:val="24"/>
          <w:szCs w:val="24"/>
        </w:rPr>
        <w:t xml:space="preserve">. </w:t>
      </w:r>
      <w:proofErr w:type="gramStart"/>
      <w:r w:rsidRPr="00B70963">
        <w:rPr>
          <w:rFonts w:asciiTheme="majorBidi" w:hAnsiTheme="majorBidi" w:cstheme="majorBidi"/>
          <w:sz w:val="24"/>
          <w:szCs w:val="24"/>
        </w:rPr>
        <w:t>sont</w:t>
      </w:r>
      <w:proofErr w:type="gramEnd"/>
      <w:r w:rsidRPr="00B70963">
        <w:rPr>
          <w:rFonts w:asciiTheme="majorBidi" w:hAnsiTheme="majorBidi" w:cstheme="majorBidi"/>
          <w:sz w:val="24"/>
          <w:szCs w:val="24"/>
        </w:rPr>
        <w:t xml:space="preserve"> sensibles aux céphalosporines de 3ème génération mais montrent une résistance évaluée à 4.47% vis-à-vis de la </w:t>
      </w:r>
      <w:proofErr w:type="spellStart"/>
      <w:r w:rsidRPr="00B70963">
        <w:rPr>
          <w:rFonts w:asciiTheme="majorBidi" w:hAnsiTheme="majorBidi" w:cstheme="majorBidi"/>
          <w:sz w:val="24"/>
          <w:szCs w:val="24"/>
        </w:rPr>
        <w:t>pefloxacine</w:t>
      </w:r>
      <w:proofErr w:type="spellEnd"/>
      <w:r w:rsidRPr="00B70963">
        <w:rPr>
          <w:rFonts w:asciiTheme="majorBidi" w:hAnsiTheme="majorBidi" w:cstheme="majorBidi"/>
          <w:sz w:val="24"/>
          <w:szCs w:val="24"/>
        </w:rPr>
        <w:t xml:space="preserve"> et du </w:t>
      </w:r>
      <w:proofErr w:type="spellStart"/>
      <w:r w:rsidRPr="00B70963">
        <w:rPr>
          <w:rFonts w:asciiTheme="majorBidi" w:hAnsiTheme="majorBidi" w:cstheme="majorBidi"/>
          <w:sz w:val="24"/>
          <w:szCs w:val="24"/>
        </w:rPr>
        <w:t>Bactrim</w:t>
      </w:r>
      <w:proofErr w:type="spellEnd"/>
      <w:r w:rsidRPr="00B70963">
        <w:rPr>
          <w:rFonts w:asciiTheme="majorBidi" w:hAnsiTheme="majorBidi" w:cstheme="majorBidi"/>
          <w:sz w:val="24"/>
          <w:szCs w:val="24"/>
        </w:rPr>
        <w:t xml:space="preserve">®. Une </w:t>
      </w:r>
      <w:proofErr w:type="spellStart"/>
      <w:r w:rsidRPr="00B70963">
        <w:rPr>
          <w:rFonts w:asciiTheme="majorBidi" w:hAnsiTheme="majorBidi" w:cstheme="majorBidi"/>
          <w:sz w:val="24"/>
          <w:szCs w:val="24"/>
        </w:rPr>
        <w:t>multirésistance</w:t>
      </w:r>
      <w:proofErr w:type="spellEnd"/>
      <w:r w:rsidRPr="00B70963">
        <w:rPr>
          <w:rFonts w:asciiTheme="majorBidi" w:hAnsiTheme="majorBidi" w:cstheme="majorBidi"/>
          <w:sz w:val="24"/>
          <w:szCs w:val="24"/>
        </w:rPr>
        <w:t xml:space="preserve"> a caractérisé le </w:t>
      </w:r>
      <w:proofErr w:type="spellStart"/>
      <w:r w:rsidRPr="00B70963">
        <w:rPr>
          <w:rFonts w:asciiTheme="majorBidi" w:hAnsiTheme="majorBidi" w:cstheme="majorBidi"/>
          <w:sz w:val="24"/>
          <w:szCs w:val="24"/>
        </w:rPr>
        <w:t>sérovar</w:t>
      </w:r>
      <w:proofErr w:type="spellEnd"/>
      <w:r w:rsidRPr="00B70963">
        <w:rPr>
          <w:rFonts w:asciiTheme="majorBidi" w:hAnsiTheme="majorBidi" w:cstheme="majorBidi"/>
          <w:sz w:val="24"/>
          <w:szCs w:val="24"/>
        </w:rPr>
        <w:t xml:space="preserve"> prédominant dans cette étude ainsi que les </w:t>
      </w:r>
      <w:proofErr w:type="spellStart"/>
      <w:r w:rsidRPr="00B70963">
        <w:rPr>
          <w:rFonts w:asciiTheme="majorBidi" w:hAnsiTheme="majorBidi" w:cstheme="majorBidi"/>
          <w:sz w:val="24"/>
          <w:szCs w:val="24"/>
        </w:rPr>
        <w:t>sérovars</w:t>
      </w:r>
      <w:proofErr w:type="spellEnd"/>
      <w:r w:rsidRPr="00B70963">
        <w:rPr>
          <w:rFonts w:asciiTheme="majorBidi" w:hAnsiTheme="majorBidi" w:cstheme="majorBidi"/>
          <w:sz w:val="24"/>
          <w:szCs w:val="24"/>
        </w:rPr>
        <w:t xml:space="preserve"> les plus fréquemment mis en cause dans les cas de TIA : </w:t>
      </w:r>
      <w:proofErr w:type="spellStart"/>
      <w:r w:rsidRPr="00B70963">
        <w:rPr>
          <w:rFonts w:asciiTheme="majorBidi" w:hAnsiTheme="majorBidi" w:cstheme="majorBidi"/>
          <w:sz w:val="24"/>
          <w:szCs w:val="24"/>
        </w:rPr>
        <w:t>Hadar</w:t>
      </w:r>
      <w:proofErr w:type="spellEnd"/>
      <w:r w:rsidRPr="00B70963">
        <w:rPr>
          <w:rFonts w:asciiTheme="majorBidi" w:hAnsiTheme="majorBidi" w:cstheme="majorBidi"/>
          <w:sz w:val="24"/>
          <w:szCs w:val="24"/>
        </w:rPr>
        <w:t xml:space="preserve">, Heidelberg et Newport. </w:t>
      </w:r>
      <w:proofErr w:type="spellStart"/>
      <w:r w:rsidRPr="00B70963">
        <w:rPr>
          <w:rFonts w:asciiTheme="majorBidi" w:hAnsiTheme="majorBidi" w:cstheme="majorBidi"/>
          <w:sz w:val="24"/>
          <w:szCs w:val="24"/>
        </w:rPr>
        <w:t>S.Typhimurium</w:t>
      </w:r>
      <w:proofErr w:type="spellEnd"/>
      <w:r w:rsidRPr="00B70963">
        <w:rPr>
          <w:rFonts w:asciiTheme="majorBidi" w:hAnsiTheme="majorBidi" w:cstheme="majorBidi"/>
          <w:sz w:val="24"/>
          <w:szCs w:val="24"/>
        </w:rPr>
        <w:t xml:space="preserve"> a acquis une résistance vis-à-vis de 9 antibiotiques et son phénotype inclut une </w:t>
      </w:r>
      <w:proofErr w:type="spellStart"/>
      <w:r w:rsidRPr="00B70963">
        <w:rPr>
          <w:rFonts w:asciiTheme="majorBidi" w:hAnsiTheme="majorBidi" w:cstheme="majorBidi"/>
          <w:sz w:val="24"/>
          <w:szCs w:val="24"/>
        </w:rPr>
        <w:t>pentarésistance</w:t>
      </w:r>
      <w:proofErr w:type="spellEnd"/>
      <w:r w:rsidRPr="00B70963">
        <w:rPr>
          <w:rFonts w:asciiTheme="majorBidi" w:hAnsiTheme="majorBidi" w:cstheme="majorBidi"/>
          <w:sz w:val="24"/>
          <w:szCs w:val="24"/>
        </w:rPr>
        <w:t xml:space="preserve"> de type «</w:t>
      </w:r>
      <w:proofErr w:type="spellStart"/>
      <w:r w:rsidRPr="00B70963">
        <w:rPr>
          <w:rFonts w:asciiTheme="majorBidi" w:hAnsiTheme="majorBidi" w:cstheme="majorBidi"/>
          <w:sz w:val="24"/>
          <w:szCs w:val="24"/>
        </w:rPr>
        <w:t>ASCTSu</w:t>
      </w:r>
      <w:proofErr w:type="spellEnd"/>
      <w:r w:rsidRPr="00B70963">
        <w:rPr>
          <w:rFonts w:asciiTheme="majorBidi" w:hAnsiTheme="majorBidi" w:cstheme="majorBidi"/>
          <w:sz w:val="24"/>
          <w:szCs w:val="24"/>
        </w:rPr>
        <w:t>». Elle a exprimé une sensibilité réduite à l’</w:t>
      </w:r>
      <w:proofErr w:type="spellStart"/>
      <w:r w:rsidRPr="00B70963">
        <w:rPr>
          <w:rFonts w:asciiTheme="majorBidi" w:hAnsiTheme="majorBidi" w:cstheme="majorBidi"/>
          <w:sz w:val="24"/>
          <w:szCs w:val="24"/>
        </w:rPr>
        <w:t>Augmentin</w:t>
      </w:r>
      <w:proofErr w:type="spellEnd"/>
      <w:r w:rsidRPr="00B70963">
        <w:rPr>
          <w:rFonts w:asciiTheme="majorBidi" w:hAnsiTheme="majorBidi" w:cstheme="majorBidi"/>
          <w:sz w:val="24"/>
          <w:szCs w:val="24"/>
        </w:rPr>
        <w:t xml:space="preserve">®, mais est toutefois sensible aux céphalosporines de 3ème génération et aux </w:t>
      </w:r>
      <w:proofErr w:type="spellStart"/>
      <w:r w:rsidRPr="00B70963">
        <w:rPr>
          <w:rFonts w:asciiTheme="majorBidi" w:hAnsiTheme="majorBidi" w:cstheme="majorBidi"/>
          <w:sz w:val="24"/>
          <w:szCs w:val="24"/>
        </w:rPr>
        <w:t>fluoroquinolones</w:t>
      </w:r>
      <w:proofErr w:type="spellEnd"/>
      <w:r w:rsidRPr="00B70963">
        <w:rPr>
          <w:rFonts w:asciiTheme="majorBidi" w:hAnsiTheme="majorBidi" w:cstheme="majorBidi"/>
          <w:sz w:val="24"/>
          <w:szCs w:val="24"/>
        </w:rPr>
        <w:t xml:space="preserve">. </w:t>
      </w:r>
      <w:r w:rsidRPr="00B70963">
        <w:rPr>
          <w:rFonts w:asciiTheme="majorBidi" w:hAnsiTheme="majorBidi" w:cstheme="majorBidi"/>
          <w:sz w:val="24"/>
          <w:szCs w:val="24"/>
        </w:rPr>
        <w:br/>
      </w:r>
      <w:r w:rsidRPr="00B70963">
        <w:rPr>
          <w:rFonts w:asciiTheme="majorBidi" w:hAnsiTheme="majorBidi" w:cstheme="majorBidi"/>
          <w:sz w:val="24"/>
          <w:szCs w:val="24"/>
        </w:rPr>
        <w:br/>
      </w:r>
      <w:r w:rsidRPr="00B70963">
        <w:rPr>
          <w:rFonts w:asciiTheme="majorBidi" w:hAnsiTheme="majorBidi" w:cstheme="majorBidi"/>
          <w:sz w:val="24"/>
          <w:szCs w:val="24"/>
        </w:rPr>
        <w:br/>
      </w:r>
      <w:r w:rsidRPr="00B70963">
        <w:rPr>
          <w:rFonts w:asciiTheme="majorBidi" w:hAnsiTheme="majorBidi" w:cstheme="majorBidi"/>
          <w:b/>
          <w:bCs/>
          <w:sz w:val="24"/>
          <w:szCs w:val="24"/>
          <w:lang w:val="en-US"/>
        </w:rPr>
        <w:t xml:space="preserve">Abstract: </w:t>
      </w:r>
    </w:p>
    <w:p w:rsidR="00B70963" w:rsidRPr="00B70963" w:rsidRDefault="00B70963" w:rsidP="00B70963">
      <w:pPr>
        <w:rPr>
          <w:rFonts w:asciiTheme="majorBidi" w:hAnsiTheme="majorBidi" w:cstheme="majorBidi"/>
          <w:b/>
          <w:bCs/>
          <w:sz w:val="28"/>
          <w:szCs w:val="28"/>
          <w:lang w:val="en-US"/>
        </w:rPr>
      </w:pPr>
      <w:r w:rsidRPr="00B70963">
        <w:rPr>
          <w:rFonts w:asciiTheme="majorBidi" w:hAnsiTheme="majorBidi" w:cstheme="majorBidi"/>
          <w:sz w:val="24"/>
          <w:szCs w:val="24"/>
          <w:lang w:val="en-US"/>
        </w:rPr>
        <w:br/>
        <w:t xml:space="preserve">Salmonella responsible of </w:t>
      </w:r>
      <w:proofErr w:type="spellStart"/>
      <w:r w:rsidRPr="00B70963">
        <w:rPr>
          <w:rFonts w:asciiTheme="majorBidi" w:hAnsiTheme="majorBidi" w:cstheme="majorBidi"/>
          <w:sz w:val="24"/>
          <w:szCs w:val="24"/>
          <w:lang w:val="en-US"/>
        </w:rPr>
        <w:t>foodborne</w:t>
      </w:r>
      <w:proofErr w:type="spellEnd"/>
      <w:r w:rsidRPr="00B70963">
        <w:rPr>
          <w:rFonts w:asciiTheme="majorBidi" w:hAnsiTheme="majorBidi" w:cstheme="majorBidi"/>
          <w:sz w:val="24"/>
          <w:szCs w:val="24"/>
          <w:lang w:val="en-US"/>
        </w:rPr>
        <w:t xml:space="preserve"> illness is a problem both for the industrialized countries and for developing ones. This study aims to determine the prevalence of strains of Salmonella </w:t>
      </w:r>
      <w:r w:rsidRPr="00B70963">
        <w:rPr>
          <w:rFonts w:asciiTheme="majorBidi" w:hAnsiTheme="majorBidi" w:cstheme="majorBidi"/>
          <w:sz w:val="24"/>
          <w:szCs w:val="24"/>
          <w:lang w:val="en-US"/>
        </w:rPr>
        <w:lastRenderedPageBreak/>
        <w:t xml:space="preserve">spp. isolated from food of animal origin in Algiers, along with the serological identification and study of the sensitivity of these strains to antimicrobial agents. From the total 504 samples examined, 69 strains of Salmonella spp. were isolated, representing an overall prevalence of 13.69%. The distribution of these strains on five predefined categories of foods showed a contamination rate of 25.69% for raw red meat and their products, 17.97% for raw white meat and their products, 3.57% for raw seafood, 2.77% for milk and dairy products, and 4.54% for other products. 22 distinct </w:t>
      </w:r>
      <w:proofErr w:type="spellStart"/>
      <w:r w:rsidRPr="00B70963">
        <w:rPr>
          <w:rFonts w:asciiTheme="majorBidi" w:hAnsiTheme="majorBidi" w:cstheme="majorBidi"/>
          <w:sz w:val="24"/>
          <w:szCs w:val="24"/>
          <w:lang w:val="en-US"/>
        </w:rPr>
        <w:t>serovars</w:t>
      </w:r>
      <w:proofErr w:type="spellEnd"/>
      <w:r w:rsidRPr="00B70963">
        <w:rPr>
          <w:rFonts w:asciiTheme="majorBidi" w:hAnsiTheme="majorBidi" w:cstheme="majorBidi"/>
          <w:sz w:val="24"/>
          <w:szCs w:val="24"/>
          <w:lang w:val="en-US"/>
        </w:rPr>
        <w:t xml:space="preserve"> were identified among them S. </w:t>
      </w:r>
      <w:proofErr w:type="spellStart"/>
      <w:r w:rsidRPr="00B70963">
        <w:rPr>
          <w:rFonts w:asciiTheme="majorBidi" w:hAnsiTheme="majorBidi" w:cstheme="majorBidi"/>
          <w:sz w:val="24"/>
          <w:szCs w:val="24"/>
          <w:lang w:val="en-US"/>
        </w:rPr>
        <w:t>Anatum</w:t>
      </w:r>
      <w:proofErr w:type="spellEnd"/>
      <w:r w:rsidRPr="00B70963">
        <w:rPr>
          <w:rFonts w:asciiTheme="majorBidi" w:hAnsiTheme="majorBidi" w:cstheme="majorBidi"/>
          <w:sz w:val="24"/>
          <w:szCs w:val="24"/>
          <w:lang w:val="en-US"/>
        </w:rPr>
        <w:t xml:space="preserve"> was the most prevalent with 13.04%. </w:t>
      </w:r>
      <w:proofErr w:type="spellStart"/>
      <w:r w:rsidRPr="00B70963">
        <w:rPr>
          <w:rFonts w:asciiTheme="majorBidi" w:hAnsiTheme="majorBidi" w:cstheme="majorBidi"/>
          <w:sz w:val="24"/>
          <w:szCs w:val="24"/>
          <w:lang w:val="en-US"/>
        </w:rPr>
        <w:t>Anatum</w:t>
      </w:r>
      <w:proofErr w:type="spellEnd"/>
      <w:r w:rsidRPr="00B70963">
        <w:rPr>
          <w:rFonts w:asciiTheme="majorBidi" w:hAnsiTheme="majorBidi" w:cstheme="majorBidi"/>
          <w:sz w:val="24"/>
          <w:szCs w:val="24"/>
          <w:lang w:val="en-US"/>
        </w:rPr>
        <w:t xml:space="preserve"> is also the predominant </w:t>
      </w:r>
      <w:proofErr w:type="spellStart"/>
      <w:r w:rsidRPr="00B70963">
        <w:rPr>
          <w:rFonts w:asciiTheme="majorBidi" w:hAnsiTheme="majorBidi" w:cstheme="majorBidi"/>
          <w:sz w:val="24"/>
          <w:szCs w:val="24"/>
          <w:lang w:val="en-US"/>
        </w:rPr>
        <w:t>serovar</w:t>
      </w:r>
      <w:proofErr w:type="spellEnd"/>
      <w:r w:rsidRPr="00B70963">
        <w:rPr>
          <w:rFonts w:asciiTheme="majorBidi" w:hAnsiTheme="majorBidi" w:cstheme="majorBidi"/>
          <w:sz w:val="24"/>
          <w:szCs w:val="24"/>
          <w:lang w:val="en-US"/>
        </w:rPr>
        <w:t xml:space="preserve"> in the category of red meat with 24.32%; with a prevalence of 21.74%, </w:t>
      </w:r>
      <w:proofErr w:type="spellStart"/>
      <w:r w:rsidRPr="00B70963">
        <w:rPr>
          <w:rFonts w:asciiTheme="majorBidi" w:hAnsiTheme="majorBidi" w:cstheme="majorBidi"/>
          <w:sz w:val="24"/>
          <w:szCs w:val="24"/>
          <w:lang w:val="en-US"/>
        </w:rPr>
        <w:t>Enteritidis</w:t>
      </w:r>
      <w:proofErr w:type="spellEnd"/>
      <w:r w:rsidRPr="00B70963">
        <w:rPr>
          <w:rFonts w:asciiTheme="majorBidi" w:hAnsiTheme="majorBidi" w:cstheme="majorBidi"/>
          <w:sz w:val="24"/>
          <w:szCs w:val="24"/>
          <w:lang w:val="en-US"/>
        </w:rPr>
        <w:t xml:space="preserve"> is the predominant </w:t>
      </w:r>
      <w:proofErr w:type="spellStart"/>
      <w:r w:rsidRPr="00B70963">
        <w:rPr>
          <w:rFonts w:asciiTheme="majorBidi" w:hAnsiTheme="majorBidi" w:cstheme="majorBidi"/>
          <w:sz w:val="24"/>
          <w:szCs w:val="24"/>
          <w:lang w:val="en-US"/>
        </w:rPr>
        <w:t>serovar</w:t>
      </w:r>
      <w:proofErr w:type="spellEnd"/>
      <w:r w:rsidRPr="00B70963">
        <w:rPr>
          <w:rFonts w:asciiTheme="majorBidi" w:hAnsiTheme="majorBidi" w:cstheme="majorBidi"/>
          <w:sz w:val="24"/>
          <w:szCs w:val="24"/>
          <w:lang w:val="en-US"/>
        </w:rPr>
        <w:t xml:space="preserve"> in the poultry meat. The isolated Salmonella strains tested for antimicrobial sensitivity, are resistant to 13/32 antimicrobial agents (40.62%). The rates of resistance to at least one antibiotic (91.04%) and multidrug resistance (31.34%) are relatively high. 88.06% of the isolated Salmonella strains showed resistance to Sulfonamides, followed by streptomycin and </w:t>
      </w:r>
      <w:proofErr w:type="spellStart"/>
      <w:r w:rsidRPr="00B70963">
        <w:rPr>
          <w:rFonts w:asciiTheme="majorBidi" w:hAnsiTheme="majorBidi" w:cstheme="majorBidi"/>
          <w:sz w:val="24"/>
          <w:szCs w:val="24"/>
          <w:lang w:val="en-US"/>
        </w:rPr>
        <w:t>nalidixic</w:t>
      </w:r>
      <w:proofErr w:type="spellEnd"/>
      <w:r w:rsidRPr="00B70963">
        <w:rPr>
          <w:rFonts w:asciiTheme="majorBidi" w:hAnsiTheme="majorBidi" w:cstheme="majorBidi"/>
          <w:sz w:val="24"/>
          <w:szCs w:val="24"/>
          <w:lang w:val="en-US"/>
        </w:rPr>
        <w:t xml:space="preserve"> acid with 16.41%, and tetracycline with 11.94%. Salmonella spp. are sensitive to the 3rd generation </w:t>
      </w:r>
      <w:proofErr w:type="spellStart"/>
      <w:r w:rsidRPr="00B70963">
        <w:rPr>
          <w:rFonts w:asciiTheme="majorBidi" w:hAnsiTheme="majorBidi" w:cstheme="majorBidi"/>
          <w:sz w:val="24"/>
          <w:szCs w:val="24"/>
          <w:lang w:val="en-US"/>
        </w:rPr>
        <w:t>cephalosporins</w:t>
      </w:r>
      <w:proofErr w:type="spellEnd"/>
      <w:r w:rsidRPr="00B70963">
        <w:rPr>
          <w:rFonts w:asciiTheme="majorBidi" w:hAnsiTheme="majorBidi" w:cstheme="majorBidi"/>
          <w:sz w:val="24"/>
          <w:szCs w:val="24"/>
          <w:lang w:val="en-US"/>
        </w:rPr>
        <w:t xml:space="preserve"> but showed a resistance estimated at 4.47% to </w:t>
      </w:r>
      <w:proofErr w:type="spellStart"/>
      <w:r w:rsidRPr="00B70963">
        <w:rPr>
          <w:rFonts w:asciiTheme="majorBidi" w:hAnsiTheme="majorBidi" w:cstheme="majorBidi"/>
          <w:sz w:val="24"/>
          <w:szCs w:val="24"/>
          <w:lang w:val="en-US"/>
        </w:rPr>
        <w:t>pefloxacine</w:t>
      </w:r>
      <w:proofErr w:type="spellEnd"/>
      <w:r w:rsidRPr="00B70963">
        <w:rPr>
          <w:rFonts w:asciiTheme="majorBidi" w:hAnsiTheme="majorBidi" w:cstheme="majorBidi"/>
          <w:sz w:val="24"/>
          <w:szCs w:val="24"/>
          <w:lang w:val="en-US"/>
        </w:rPr>
        <w:t xml:space="preserve"> and </w:t>
      </w:r>
      <w:proofErr w:type="spellStart"/>
      <w:r w:rsidRPr="00B70963">
        <w:rPr>
          <w:rFonts w:asciiTheme="majorBidi" w:hAnsiTheme="majorBidi" w:cstheme="majorBidi"/>
          <w:sz w:val="24"/>
          <w:szCs w:val="24"/>
          <w:lang w:val="en-US"/>
        </w:rPr>
        <w:t>Bactrim</w:t>
      </w:r>
      <w:proofErr w:type="spellEnd"/>
      <w:r w:rsidRPr="00B70963">
        <w:rPr>
          <w:rFonts w:asciiTheme="majorBidi" w:hAnsiTheme="majorBidi" w:cstheme="majorBidi"/>
          <w:sz w:val="24"/>
          <w:szCs w:val="24"/>
          <w:lang w:val="en-US"/>
        </w:rPr>
        <w:t xml:space="preserve">®. A multidrug has characterized the predominant </w:t>
      </w:r>
      <w:proofErr w:type="spellStart"/>
      <w:r w:rsidRPr="00B70963">
        <w:rPr>
          <w:rFonts w:asciiTheme="majorBidi" w:hAnsiTheme="majorBidi" w:cstheme="majorBidi"/>
          <w:sz w:val="24"/>
          <w:szCs w:val="24"/>
          <w:lang w:val="en-US"/>
        </w:rPr>
        <w:t>serovar</w:t>
      </w:r>
      <w:proofErr w:type="spellEnd"/>
      <w:r w:rsidRPr="00B70963">
        <w:rPr>
          <w:rFonts w:asciiTheme="majorBidi" w:hAnsiTheme="majorBidi" w:cstheme="majorBidi"/>
          <w:sz w:val="24"/>
          <w:szCs w:val="24"/>
          <w:lang w:val="en-US"/>
        </w:rPr>
        <w:t xml:space="preserve"> in this study and the </w:t>
      </w:r>
      <w:proofErr w:type="spellStart"/>
      <w:r w:rsidRPr="00B70963">
        <w:rPr>
          <w:rFonts w:asciiTheme="majorBidi" w:hAnsiTheme="majorBidi" w:cstheme="majorBidi"/>
          <w:sz w:val="24"/>
          <w:szCs w:val="24"/>
          <w:lang w:val="en-US"/>
        </w:rPr>
        <w:t>serovars</w:t>
      </w:r>
      <w:proofErr w:type="spellEnd"/>
      <w:r w:rsidRPr="00B70963">
        <w:rPr>
          <w:rFonts w:asciiTheme="majorBidi" w:hAnsiTheme="majorBidi" w:cstheme="majorBidi"/>
          <w:sz w:val="24"/>
          <w:szCs w:val="24"/>
          <w:lang w:val="en-US"/>
        </w:rPr>
        <w:t xml:space="preserve"> most frequently involved in cases of </w:t>
      </w:r>
      <w:proofErr w:type="spellStart"/>
      <w:r w:rsidRPr="00B70963">
        <w:rPr>
          <w:rFonts w:asciiTheme="majorBidi" w:hAnsiTheme="majorBidi" w:cstheme="majorBidi"/>
          <w:sz w:val="24"/>
          <w:szCs w:val="24"/>
          <w:lang w:val="en-US"/>
        </w:rPr>
        <w:t>foodborne</w:t>
      </w:r>
      <w:proofErr w:type="spellEnd"/>
      <w:r w:rsidRPr="00B70963">
        <w:rPr>
          <w:rFonts w:asciiTheme="majorBidi" w:hAnsiTheme="majorBidi" w:cstheme="majorBidi"/>
          <w:sz w:val="24"/>
          <w:szCs w:val="24"/>
          <w:lang w:val="en-US"/>
        </w:rPr>
        <w:t xml:space="preserve"> illness: </w:t>
      </w:r>
      <w:proofErr w:type="spellStart"/>
      <w:r w:rsidRPr="00B70963">
        <w:rPr>
          <w:rFonts w:asciiTheme="majorBidi" w:hAnsiTheme="majorBidi" w:cstheme="majorBidi"/>
          <w:sz w:val="24"/>
          <w:szCs w:val="24"/>
          <w:lang w:val="en-US"/>
        </w:rPr>
        <w:t>Hadar</w:t>
      </w:r>
      <w:proofErr w:type="spellEnd"/>
      <w:r w:rsidRPr="00B70963">
        <w:rPr>
          <w:rFonts w:asciiTheme="majorBidi" w:hAnsiTheme="majorBidi" w:cstheme="majorBidi"/>
          <w:sz w:val="24"/>
          <w:szCs w:val="24"/>
          <w:lang w:val="en-US"/>
        </w:rPr>
        <w:t xml:space="preserve">, Heidelberg and Newport. </w:t>
      </w:r>
      <w:proofErr w:type="spellStart"/>
      <w:r w:rsidRPr="00B70963">
        <w:rPr>
          <w:rFonts w:asciiTheme="majorBidi" w:hAnsiTheme="majorBidi" w:cstheme="majorBidi"/>
          <w:sz w:val="24"/>
          <w:szCs w:val="24"/>
          <w:lang w:val="en-US"/>
        </w:rPr>
        <w:t>S.Typhimurium</w:t>
      </w:r>
      <w:proofErr w:type="spellEnd"/>
      <w:r w:rsidRPr="00B70963">
        <w:rPr>
          <w:rFonts w:asciiTheme="majorBidi" w:hAnsiTheme="majorBidi" w:cstheme="majorBidi"/>
          <w:sz w:val="24"/>
          <w:szCs w:val="24"/>
          <w:lang w:val="en-US"/>
        </w:rPr>
        <w:t xml:space="preserve"> was resistant to 9 antimicrobial agents and its phenotype includes </w:t>
      </w:r>
      <w:proofErr w:type="spellStart"/>
      <w:r w:rsidRPr="00B70963">
        <w:rPr>
          <w:rFonts w:asciiTheme="majorBidi" w:hAnsiTheme="majorBidi" w:cstheme="majorBidi"/>
          <w:sz w:val="24"/>
          <w:szCs w:val="24"/>
          <w:lang w:val="en-US"/>
        </w:rPr>
        <w:t>ASCTSu</w:t>
      </w:r>
      <w:proofErr w:type="spellEnd"/>
      <w:r w:rsidRPr="00B70963">
        <w:rPr>
          <w:rFonts w:asciiTheme="majorBidi" w:hAnsiTheme="majorBidi" w:cstheme="majorBidi"/>
          <w:sz w:val="24"/>
          <w:szCs w:val="24"/>
          <w:lang w:val="en-US"/>
        </w:rPr>
        <w:t xml:space="preserve"> type </w:t>
      </w:r>
      <w:proofErr w:type="spellStart"/>
      <w:r w:rsidRPr="00B70963">
        <w:rPr>
          <w:rFonts w:asciiTheme="majorBidi" w:hAnsiTheme="majorBidi" w:cstheme="majorBidi"/>
          <w:sz w:val="24"/>
          <w:szCs w:val="24"/>
          <w:lang w:val="en-US"/>
        </w:rPr>
        <w:t>pentaresistance</w:t>
      </w:r>
      <w:proofErr w:type="spellEnd"/>
      <w:r w:rsidRPr="00B70963">
        <w:rPr>
          <w:rFonts w:asciiTheme="majorBidi" w:hAnsiTheme="majorBidi" w:cstheme="majorBidi"/>
          <w:sz w:val="24"/>
          <w:szCs w:val="24"/>
          <w:lang w:val="en-US"/>
        </w:rPr>
        <w:t xml:space="preserve">. It was sensitive to the 3rd generation </w:t>
      </w:r>
      <w:proofErr w:type="spellStart"/>
      <w:r w:rsidRPr="00B70963">
        <w:rPr>
          <w:rFonts w:asciiTheme="majorBidi" w:hAnsiTheme="majorBidi" w:cstheme="majorBidi"/>
          <w:sz w:val="24"/>
          <w:szCs w:val="24"/>
          <w:lang w:val="en-US"/>
        </w:rPr>
        <w:t>cephalosporins</w:t>
      </w:r>
      <w:proofErr w:type="spellEnd"/>
      <w:r w:rsidRPr="00B70963">
        <w:rPr>
          <w:rFonts w:asciiTheme="majorBidi" w:hAnsiTheme="majorBidi" w:cstheme="majorBidi"/>
          <w:sz w:val="24"/>
          <w:szCs w:val="24"/>
          <w:lang w:val="en-US"/>
        </w:rPr>
        <w:t xml:space="preserve"> and </w:t>
      </w:r>
      <w:proofErr w:type="spellStart"/>
      <w:r w:rsidRPr="00B70963">
        <w:rPr>
          <w:rFonts w:asciiTheme="majorBidi" w:hAnsiTheme="majorBidi" w:cstheme="majorBidi"/>
          <w:sz w:val="24"/>
          <w:szCs w:val="24"/>
          <w:lang w:val="en-US"/>
        </w:rPr>
        <w:t>fluoroquinolones</w:t>
      </w:r>
      <w:proofErr w:type="spellEnd"/>
      <w:r w:rsidRPr="00B70963">
        <w:rPr>
          <w:rFonts w:asciiTheme="majorBidi" w:hAnsiTheme="majorBidi" w:cstheme="majorBidi"/>
          <w:sz w:val="24"/>
          <w:szCs w:val="24"/>
          <w:lang w:val="en-US"/>
        </w:rPr>
        <w:t>.</w:t>
      </w:r>
    </w:p>
    <w:p w:rsidR="00320F39" w:rsidRPr="00B70963" w:rsidRDefault="00320F39">
      <w:pPr>
        <w:rPr>
          <w:lang w:val="en-US"/>
        </w:rPr>
      </w:pPr>
    </w:p>
    <w:sectPr w:rsidR="00320F39" w:rsidRPr="00B7096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70963"/>
    <w:rsid w:val="00320F39"/>
    <w:rsid w:val="00B709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3941</Characters>
  <Application>Microsoft Office Word</Application>
  <DocSecurity>0</DocSecurity>
  <Lines>32</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2019-11-24T12:23:00Z</dcterms:created>
  <dcterms:modified xsi:type="dcterms:W3CDTF">2019-11-24T12:24:00Z</dcterms:modified>
</cp:coreProperties>
</file>