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994" w:rsidRPr="002779D7" w:rsidRDefault="00C05994" w:rsidP="00C05994">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 M</w:t>
      </w:r>
      <w:r>
        <w:rPr>
          <w:rFonts w:asciiTheme="majorBidi" w:hAnsiTheme="majorBidi" w:cstheme="majorBidi"/>
          <w:b/>
          <w:bCs/>
          <w:color w:val="000000"/>
          <w:sz w:val="28"/>
          <w:szCs w:val="28"/>
          <w:shd w:val="clear" w:color="auto" w:fill="FFFFFF"/>
        </w:rPr>
        <w:t>me</w:t>
      </w:r>
      <w:r w:rsidRPr="002779D7">
        <w:rPr>
          <w:rFonts w:asciiTheme="majorBidi" w:hAnsiTheme="majorBidi" w:cstheme="majorBidi"/>
          <w:b/>
          <w:bCs/>
          <w:color w:val="000000"/>
          <w:sz w:val="28"/>
          <w:szCs w:val="28"/>
          <w:shd w:val="clear" w:color="auto" w:fill="FFFFFF"/>
        </w:rPr>
        <w:t xml:space="preserve"> </w:t>
      </w:r>
      <w:proofErr w:type="spellStart"/>
      <w:r w:rsidRPr="00C05994">
        <w:rPr>
          <w:rFonts w:asciiTheme="majorBidi" w:hAnsiTheme="majorBidi" w:cstheme="majorBidi"/>
          <w:b/>
          <w:bCs/>
          <w:color w:val="000000"/>
          <w:sz w:val="28"/>
          <w:szCs w:val="28"/>
          <w:shd w:val="clear" w:color="auto" w:fill="FFFFFF"/>
        </w:rPr>
        <w:t>Merdjane</w:t>
      </w:r>
      <w:proofErr w:type="spellEnd"/>
      <w:r w:rsidRPr="00C05994">
        <w:rPr>
          <w:rFonts w:asciiTheme="majorBidi" w:hAnsiTheme="majorBidi" w:cstheme="majorBidi"/>
          <w:b/>
          <w:bCs/>
          <w:color w:val="000000"/>
          <w:sz w:val="28"/>
          <w:szCs w:val="28"/>
          <w:shd w:val="clear" w:color="auto" w:fill="FFFFFF"/>
        </w:rPr>
        <w:t xml:space="preserve"> Lynda</w:t>
      </w:r>
    </w:p>
    <w:p w:rsidR="00C05994" w:rsidRDefault="00C05994" w:rsidP="00C05994">
      <w:pPr>
        <w:jc w:val="center"/>
        <w:rPr>
          <w:rFonts w:asciiTheme="majorBidi" w:hAnsiTheme="majorBidi" w:cstheme="majorBidi"/>
          <w:b/>
          <w:bCs/>
          <w:color w:val="000000"/>
          <w:sz w:val="28"/>
          <w:szCs w:val="28"/>
          <w:shd w:val="clear" w:color="auto" w:fill="FFFFFF"/>
        </w:rPr>
      </w:pPr>
      <w:r w:rsidRPr="00C05994">
        <w:rPr>
          <w:rFonts w:asciiTheme="majorBidi" w:hAnsiTheme="majorBidi" w:cstheme="majorBidi"/>
          <w:b/>
          <w:bCs/>
          <w:color w:val="000000"/>
          <w:sz w:val="28"/>
          <w:szCs w:val="28"/>
          <w:shd w:val="clear" w:color="auto" w:fill="FFFFFF"/>
        </w:rPr>
        <w:t>Situation et possibilité de développement des ressources alimentaires destinées aux herbivores en Algérie</w:t>
      </w:r>
    </w:p>
    <w:p w:rsidR="00C05994" w:rsidRDefault="00C05994" w:rsidP="00C05994">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2014</w:t>
      </w:r>
    </w:p>
    <w:p w:rsidR="00C05994" w:rsidRPr="00C05994" w:rsidRDefault="00C05994">
      <w:pPr>
        <w:rPr>
          <w:rFonts w:asciiTheme="majorBidi" w:hAnsiTheme="majorBidi" w:cstheme="majorBidi"/>
          <w:sz w:val="24"/>
          <w:szCs w:val="24"/>
        </w:rPr>
      </w:pPr>
      <w:r w:rsidRPr="00C05994">
        <w:rPr>
          <w:rFonts w:asciiTheme="majorBidi" w:hAnsiTheme="majorBidi" w:cstheme="majorBidi"/>
          <w:b/>
          <w:bCs/>
          <w:sz w:val="24"/>
          <w:szCs w:val="24"/>
        </w:rPr>
        <w:t>Résumé</w:t>
      </w:r>
      <w:r w:rsidRPr="00C05994">
        <w:rPr>
          <w:rFonts w:asciiTheme="majorBidi" w:hAnsiTheme="majorBidi" w:cstheme="majorBidi"/>
          <w:sz w:val="24"/>
          <w:szCs w:val="24"/>
        </w:rPr>
        <w:t xml:space="preserve"> : </w:t>
      </w:r>
    </w:p>
    <w:p w:rsidR="0056389E" w:rsidRPr="00C05994" w:rsidRDefault="00C05994" w:rsidP="00C05994">
      <w:pPr>
        <w:rPr>
          <w:rFonts w:asciiTheme="majorBidi" w:hAnsiTheme="majorBidi" w:cstheme="majorBidi"/>
          <w:sz w:val="24"/>
          <w:szCs w:val="24"/>
          <w:lang w:val="en-US"/>
        </w:rPr>
      </w:pPr>
      <w:r w:rsidRPr="00C05994">
        <w:rPr>
          <w:rFonts w:asciiTheme="majorBidi" w:hAnsiTheme="majorBidi" w:cstheme="majorBidi"/>
          <w:sz w:val="24"/>
          <w:szCs w:val="24"/>
        </w:rPr>
        <w:t>Cette étude se propose de présenter un diagnostic régionalisé à travers l’établissement du bilan fourrager de 5 années consécutives (2008, 2009, 2010, 2011 et 2012), analysant les causes les déséquilibres et appréciant l’importance des contraintes en jeu de manière à permettre de définir les objectifs pour une politique de développement des productions fourragères et de l’élevage des herbivores. L’analyse des bilans par zones bioclimatiques et à l’échelon national permet de tirer plusieurs enseignements :</w:t>
      </w:r>
      <w:r w:rsidRPr="00C05994">
        <w:rPr>
          <w:rFonts w:asciiTheme="majorBidi" w:hAnsiTheme="majorBidi" w:cstheme="majorBidi"/>
          <w:sz w:val="24"/>
          <w:szCs w:val="24"/>
        </w:rPr>
        <w:br/>
        <w:t>- les bilans fourragers établis sur une période de cinq années consécutives mettent en évidence un déficit chronique qui s’établit en moyenne à 6,525 Mrds d’UF/an soit un taux moyen de couverture des besoins alimentaires du cheptel national des herbivores de l’ordre de 46,87 %.</w:t>
      </w:r>
      <w:r w:rsidRPr="00C05994">
        <w:rPr>
          <w:rFonts w:asciiTheme="majorBidi" w:hAnsiTheme="majorBidi" w:cstheme="majorBidi"/>
          <w:sz w:val="24"/>
          <w:szCs w:val="24"/>
        </w:rPr>
        <w:br/>
        <w:t>- Les ressources fourragères disponibles sont issues essentiellement des pacages et parcours (22,79%) des jachères (13,17%) et du couple paille – chaumes (20,12%) ce qui dénote le caractère extensif de la production fourragère.</w:t>
      </w:r>
      <w:r w:rsidRPr="00C05994">
        <w:rPr>
          <w:rFonts w:asciiTheme="majorBidi" w:hAnsiTheme="majorBidi" w:cstheme="majorBidi"/>
          <w:sz w:val="24"/>
          <w:szCs w:val="24"/>
        </w:rPr>
        <w:br/>
        <w:t>- La contribution des fourrages cultivés à la satisfaction des besoins du cheptel est très faible, de l’ordre de15, 87% soit seulement 960 millions d’UF en moyenne.</w:t>
      </w:r>
      <w:r w:rsidRPr="00C05994">
        <w:rPr>
          <w:rFonts w:asciiTheme="majorBidi" w:hAnsiTheme="majorBidi" w:cstheme="majorBidi"/>
          <w:sz w:val="24"/>
          <w:szCs w:val="24"/>
        </w:rPr>
        <w:br/>
        <w:t>- Les variations interannuelles sont trop fortes pour être compensées par le simple recours à des stocks puisque les différences portent sur plusieurs milliards d’UF.</w:t>
      </w:r>
      <w:r w:rsidRPr="00C05994">
        <w:rPr>
          <w:rFonts w:asciiTheme="majorBidi" w:hAnsiTheme="majorBidi" w:cstheme="majorBidi"/>
          <w:sz w:val="24"/>
          <w:szCs w:val="24"/>
        </w:rPr>
        <w:br/>
        <w:t>- Avec une forte variabilité interzonale, le déficit fourrager concerne quasiment toutes les zones bioclimatiques, mais à des degrés distincts. Ainsi, le déficit le plus prononcé est observé à l’échelle des zones semi-arides (2,075 Mrds d’UF) et arides (1,644Mrds d’UF) marquées par une forte concentration du cheptel et une forte dégradation de leurs parcours.</w:t>
      </w:r>
      <w:r w:rsidRPr="00C05994">
        <w:rPr>
          <w:rFonts w:asciiTheme="majorBidi" w:hAnsiTheme="majorBidi" w:cstheme="majorBidi"/>
          <w:sz w:val="24"/>
          <w:szCs w:val="24"/>
        </w:rPr>
        <w:br/>
      </w:r>
      <w:r w:rsidRPr="00C05994">
        <w:rPr>
          <w:rFonts w:asciiTheme="majorBidi" w:hAnsiTheme="majorBidi" w:cstheme="majorBidi"/>
          <w:sz w:val="24"/>
          <w:szCs w:val="24"/>
        </w:rPr>
        <w:br/>
      </w:r>
      <w:r w:rsidRPr="00C05994">
        <w:rPr>
          <w:rFonts w:asciiTheme="majorBidi" w:hAnsiTheme="majorBidi" w:cstheme="majorBidi"/>
          <w:b/>
          <w:bCs/>
          <w:sz w:val="24"/>
          <w:szCs w:val="24"/>
          <w:lang w:val="en-US"/>
        </w:rPr>
        <w:t>Abstract</w:t>
      </w:r>
      <w:proofErr w:type="gramStart"/>
      <w:r w:rsidRPr="00C05994">
        <w:rPr>
          <w:rFonts w:asciiTheme="majorBidi" w:hAnsiTheme="majorBidi" w:cstheme="majorBidi"/>
          <w:b/>
          <w:bCs/>
          <w:sz w:val="24"/>
          <w:szCs w:val="24"/>
          <w:lang w:val="en-US"/>
        </w:rPr>
        <w:t>:</w:t>
      </w:r>
      <w:proofErr w:type="gramEnd"/>
      <w:r w:rsidRPr="00C05994">
        <w:rPr>
          <w:rFonts w:asciiTheme="majorBidi" w:hAnsiTheme="majorBidi" w:cstheme="majorBidi"/>
          <w:b/>
          <w:bCs/>
          <w:sz w:val="24"/>
          <w:szCs w:val="24"/>
          <w:lang w:val="en-US"/>
        </w:rPr>
        <w:br/>
      </w:r>
      <w:r w:rsidRPr="00C05994">
        <w:rPr>
          <w:rFonts w:asciiTheme="majorBidi" w:hAnsiTheme="majorBidi" w:cstheme="majorBidi"/>
          <w:sz w:val="24"/>
          <w:szCs w:val="24"/>
          <w:lang w:val="en-US"/>
        </w:rPr>
        <w:t>This study aims to present a diagnostic regionalized through the establishment of fodder balance for 5 consecutive years (2008, 2009, 2010, 2011 and 2012), analyzing the causes of imbalances and appreciating the importance of the constraints involved so help to define the objectives for development policy fodder crops and livestock. The analysis of balances by bioclimatic zones in national level leads to several conclusions</w:t>
      </w:r>
      <w:proofErr w:type="gramStart"/>
      <w:r w:rsidRPr="00C05994">
        <w:rPr>
          <w:rFonts w:asciiTheme="majorBidi" w:hAnsiTheme="majorBidi" w:cstheme="majorBidi"/>
          <w:sz w:val="24"/>
          <w:szCs w:val="24"/>
          <w:lang w:val="en-US"/>
        </w:rPr>
        <w:t>:</w:t>
      </w:r>
      <w:proofErr w:type="gramEnd"/>
      <w:r w:rsidRPr="00C05994">
        <w:rPr>
          <w:rFonts w:asciiTheme="majorBidi" w:hAnsiTheme="majorBidi" w:cstheme="majorBidi"/>
          <w:sz w:val="24"/>
          <w:szCs w:val="24"/>
          <w:lang w:val="en-US"/>
        </w:rPr>
        <w:br/>
        <w:t xml:space="preserve">- The fodder balances established over a period of five consecutive years show a chronic deficit that has averaged 6.525 </w:t>
      </w:r>
      <w:proofErr w:type="spellStart"/>
      <w:r w:rsidRPr="00C05994">
        <w:rPr>
          <w:rFonts w:asciiTheme="majorBidi" w:hAnsiTheme="majorBidi" w:cstheme="majorBidi"/>
          <w:sz w:val="24"/>
          <w:szCs w:val="24"/>
          <w:lang w:val="en-US"/>
        </w:rPr>
        <w:t>bn</w:t>
      </w:r>
      <w:proofErr w:type="spellEnd"/>
      <w:r w:rsidRPr="00C05994">
        <w:rPr>
          <w:rFonts w:asciiTheme="majorBidi" w:hAnsiTheme="majorBidi" w:cstheme="majorBidi"/>
          <w:sz w:val="24"/>
          <w:szCs w:val="24"/>
          <w:lang w:val="en-US"/>
        </w:rPr>
        <w:t xml:space="preserve"> UF/year for a coverage rate of about 46.87%. - The available feed resources are derived mainly pastures and rangelands (22.79 %) fallow (13.17%) and torque straw - stubble (20.12 %), which indicates the extensive nature of fodder production,</w:t>
      </w:r>
      <w:r w:rsidRPr="00C05994">
        <w:rPr>
          <w:rFonts w:asciiTheme="majorBidi" w:hAnsiTheme="majorBidi" w:cstheme="majorBidi"/>
          <w:sz w:val="24"/>
          <w:szCs w:val="24"/>
          <w:lang w:val="en-US"/>
        </w:rPr>
        <w:br/>
        <w:t>- The contribution of fodder to cover the needs of livestock fodder is very low, the order of 15.87 % or 960 million UF average,</w:t>
      </w:r>
      <w:r w:rsidRPr="00C05994">
        <w:rPr>
          <w:rFonts w:asciiTheme="majorBidi" w:hAnsiTheme="majorBidi" w:cstheme="majorBidi"/>
          <w:sz w:val="24"/>
          <w:szCs w:val="24"/>
          <w:lang w:val="en-US"/>
        </w:rPr>
        <w:br/>
        <w:t xml:space="preserve">- The </w:t>
      </w:r>
      <w:proofErr w:type="spellStart"/>
      <w:r w:rsidRPr="00C05994">
        <w:rPr>
          <w:rFonts w:asciiTheme="majorBidi" w:hAnsiTheme="majorBidi" w:cstheme="majorBidi"/>
          <w:sz w:val="24"/>
          <w:szCs w:val="24"/>
          <w:lang w:val="en-US"/>
        </w:rPr>
        <w:t>interannual</w:t>
      </w:r>
      <w:proofErr w:type="spellEnd"/>
      <w:r w:rsidRPr="00C05994">
        <w:rPr>
          <w:rFonts w:asciiTheme="majorBidi" w:hAnsiTheme="majorBidi" w:cstheme="majorBidi"/>
          <w:sz w:val="24"/>
          <w:szCs w:val="24"/>
          <w:lang w:val="en-US"/>
        </w:rPr>
        <w:t xml:space="preserve"> variations are too strong to be compensated by the simple use of stocks since the differences are billions of UF,</w:t>
      </w:r>
      <w:r w:rsidRPr="00C05994">
        <w:rPr>
          <w:rFonts w:asciiTheme="majorBidi" w:hAnsiTheme="majorBidi" w:cstheme="majorBidi"/>
          <w:sz w:val="24"/>
          <w:szCs w:val="24"/>
          <w:lang w:val="en-US"/>
        </w:rPr>
        <w:br/>
      </w:r>
      <w:r w:rsidRPr="00C05994">
        <w:rPr>
          <w:rFonts w:asciiTheme="majorBidi" w:hAnsiTheme="majorBidi" w:cstheme="majorBidi"/>
          <w:sz w:val="24"/>
          <w:szCs w:val="24"/>
          <w:lang w:val="en-US"/>
        </w:rPr>
        <w:lastRenderedPageBreak/>
        <w:t xml:space="preserve">- With a strong </w:t>
      </w:r>
      <w:proofErr w:type="spellStart"/>
      <w:r w:rsidRPr="00C05994">
        <w:rPr>
          <w:rFonts w:asciiTheme="majorBidi" w:hAnsiTheme="majorBidi" w:cstheme="majorBidi"/>
          <w:sz w:val="24"/>
          <w:szCs w:val="24"/>
          <w:lang w:val="en-US"/>
        </w:rPr>
        <w:t>interzonal</w:t>
      </w:r>
      <w:proofErr w:type="spellEnd"/>
      <w:r w:rsidRPr="00C05994">
        <w:rPr>
          <w:rFonts w:asciiTheme="majorBidi" w:hAnsiTheme="majorBidi" w:cstheme="majorBidi"/>
          <w:sz w:val="24"/>
          <w:szCs w:val="24"/>
          <w:lang w:val="en-US"/>
        </w:rPr>
        <w:t xml:space="preserve"> variability, fodder deficit concerns almost all bioclimatic zones, but at a distinct degrees. Thus, the most pronounced deficit is observed across semi -arid areas (2.075 </w:t>
      </w:r>
      <w:proofErr w:type="spellStart"/>
      <w:r w:rsidRPr="00C05994">
        <w:rPr>
          <w:rFonts w:asciiTheme="majorBidi" w:hAnsiTheme="majorBidi" w:cstheme="majorBidi"/>
          <w:sz w:val="24"/>
          <w:szCs w:val="24"/>
          <w:lang w:val="en-US"/>
        </w:rPr>
        <w:t>bn</w:t>
      </w:r>
      <w:proofErr w:type="spellEnd"/>
      <w:r w:rsidRPr="00C05994">
        <w:rPr>
          <w:rFonts w:asciiTheme="majorBidi" w:hAnsiTheme="majorBidi" w:cstheme="majorBidi"/>
          <w:sz w:val="24"/>
          <w:szCs w:val="24"/>
          <w:lang w:val="en-US"/>
        </w:rPr>
        <w:t xml:space="preserve"> UF) and dry areas (1.644 </w:t>
      </w:r>
      <w:proofErr w:type="spellStart"/>
      <w:r w:rsidRPr="00C05994">
        <w:rPr>
          <w:rFonts w:asciiTheme="majorBidi" w:hAnsiTheme="majorBidi" w:cstheme="majorBidi"/>
          <w:sz w:val="24"/>
          <w:szCs w:val="24"/>
          <w:lang w:val="en-US"/>
        </w:rPr>
        <w:t>bn</w:t>
      </w:r>
      <w:proofErr w:type="spellEnd"/>
      <w:r w:rsidRPr="00C05994">
        <w:rPr>
          <w:rFonts w:asciiTheme="majorBidi" w:hAnsiTheme="majorBidi" w:cstheme="majorBidi"/>
          <w:sz w:val="24"/>
          <w:szCs w:val="24"/>
          <w:lang w:val="en-US"/>
        </w:rPr>
        <w:t xml:space="preserve"> UF) marked by a high concentration of livestock and a sharp deterioration in their rangeland.</w:t>
      </w:r>
    </w:p>
    <w:sectPr w:rsidR="0056389E" w:rsidRPr="00C05994"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05994"/>
    <w:rsid w:val="0056389E"/>
    <w:rsid w:val="00C0599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9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2805</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2019-10-08T09:10:00Z</dcterms:created>
  <dcterms:modified xsi:type="dcterms:W3CDTF">2019-10-08T09:22:00Z</dcterms:modified>
</cp:coreProperties>
</file>