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BE2FC4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BE2FC4" w:rsidRPr="00BE2FC4">
        <w:rPr>
          <w:rFonts w:asciiTheme="majorBidi" w:hAnsiTheme="majorBidi" w:cstheme="majorBidi"/>
          <w:b/>
          <w:bCs/>
          <w:sz w:val="28"/>
          <w:szCs w:val="28"/>
        </w:rPr>
        <w:t>Zootechnie générale : régions corporelles externes chez les bovins les ovins et les caprins</w:t>
      </w:r>
    </w:p>
    <w:p w:rsidR="004856E9" w:rsidRDefault="004856E9" w:rsidP="004856E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BE2FC4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65F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56E9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01F7"/>
    <w:rsid w:val="0052296D"/>
    <w:rsid w:val="00523CB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2A2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128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0AEC"/>
    <w:rsid w:val="00901B4B"/>
    <w:rsid w:val="0090358A"/>
    <w:rsid w:val="00912617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877DD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2FC4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592</cp:revision>
  <dcterms:created xsi:type="dcterms:W3CDTF">2019-12-10T12:38:00Z</dcterms:created>
  <dcterms:modified xsi:type="dcterms:W3CDTF">2023-06-12T13:43:00Z</dcterms:modified>
</cp:coreProperties>
</file>