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2F" w:rsidRDefault="001B3597" w:rsidP="002847F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847F8" w:rsidRPr="002847F8">
        <w:rPr>
          <w:rFonts w:asciiTheme="majorBidi" w:hAnsiTheme="majorBidi" w:cstheme="majorBidi"/>
          <w:b/>
          <w:bCs/>
          <w:sz w:val="28"/>
          <w:szCs w:val="28"/>
        </w:rPr>
        <w:t>Les affections respiratoires rencontre au haras el-djoumhouri : incidence des agents bactériens</w:t>
      </w:r>
    </w:p>
    <w:p w:rsidR="002847F8" w:rsidRDefault="002847F8" w:rsidP="002847F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2847F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601</cp:revision>
  <dcterms:created xsi:type="dcterms:W3CDTF">2019-12-10T12:38:00Z</dcterms:created>
  <dcterms:modified xsi:type="dcterms:W3CDTF">2023-09-12T08:56:00Z</dcterms:modified>
</cp:coreProperties>
</file>