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E1E" w:rsidRDefault="001B3597" w:rsidP="00430EBB">
      <w:pPr>
        <w:rPr>
          <w:rFonts w:ascii="Times New Roman" w:hAnsi="Times New Roman" w:cs="Times New Roman"/>
          <w:b/>
          <w:bCs/>
          <w:color w:val="000000"/>
          <w:sz w:val="36"/>
          <w:szCs w:val="36"/>
        </w:rPr>
      </w:pPr>
      <w:r w:rsidRPr="00CD6DD2">
        <w:rPr>
          <w:rFonts w:asciiTheme="majorBidi" w:hAnsiTheme="majorBidi" w:cstheme="majorBidi"/>
          <w:b/>
          <w:bCs/>
          <w:sz w:val="32"/>
          <w:szCs w:val="32"/>
        </w:rPr>
        <w:t xml:space="preserve">Résumé du </w:t>
      </w:r>
      <w:proofErr w:type="spellStart"/>
      <w:r w:rsidR="00253783">
        <w:rPr>
          <w:rFonts w:asciiTheme="majorBidi" w:hAnsiTheme="majorBidi" w:cstheme="majorBidi"/>
          <w:b/>
          <w:bCs/>
          <w:sz w:val="32"/>
          <w:szCs w:val="32"/>
        </w:rPr>
        <w:t>Matser</w:t>
      </w:r>
      <w:proofErr w:type="spellEnd"/>
      <w:r w:rsidRPr="00CD6DD2">
        <w:rPr>
          <w:rFonts w:asciiTheme="majorBidi" w:hAnsiTheme="majorBidi" w:cstheme="majorBidi"/>
          <w:b/>
          <w:bCs/>
          <w:sz w:val="32"/>
          <w:szCs w:val="32"/>
        </w:rPr>
        <w:t xml:space="preserve"> : </w:t>
      </w:r>
      <w:r w:rsidR="00E3239A" w:rsidRPr="00CD6DD2">
        <w:rPr>
          <w:rFonts w:asciiTheme="majorBidi" w:hAnsiTheme="majorBidi" w:cstheme="majorBidi"/>
          <w:b/>
          <w:bCs/>
          <w:sz w:val="32"/>
          <w:szCs w:val="32"/>
        </w:rPr>
        <w:t>Sous-titre</w:t>
      </w:r>
      <w:r w:rsidR="0033722C" w:rsidRPr="00CD6DD2">
        <w:rPr>
          <w:rFonts w:asciiTheme="majorBidi" w:hAnsiTheme="majorBidi" w:cstheme="majorBidi"/>
          <w:b/>
          <w:bCs/>
          <w:sz w:val="32"/>
          <w:szCs w:val="32"/>
        </w:rPr>
        <w:t xml:space="preserve"> : </w:t>
      </w:r>
      <w:r w:rsidR="00430EBB" w:rsidRPr="00430EBB">
        <w:rPr>
          <w:rFonts w:ascii="Times New Roman" w:hAnsi="Times New Roman" w:cs="Times New Roman"/>
          <w:b/>
          <w:bCs/>
          <w:color w:val="000000"/>
          <w:sz w:val="36"/>
          <w:szCs w:val="36"/>
        </w:rPr>
        <w:t xml:space="preserve">l’effet </w:t>
      </w:r>
      <w:proofErr w:type="spellStart"/>
      <w:r w:rsidR="00430EBB" w:rsidRPr="00430EBB">
        <w:rPr>
          <w:rFonts w:ascii="Times New Roman" w:hAnsi="Times New Roman" w:cs="Times New Roman"/>
          <w:b/>
          <w:bCs/>
          <w:color w:val="000000"/>
          <w:sz w:val="36"/>
          <w:szCs w:val="36"/>
        </w:rPr>
        <w:t>hépatoprotecteur</w:t>
      </w:r>
      <w:proofErr w:type="spellEnd"/>
      <w:r w:rsidR="00430EBB" w:rsidRPr="00430EBB">
        <w:rPr>
          <w:rFonts w:ascii="Times New Roman" w:hAnsi="Times New Roman" w:cs="Times New Roman"/>
          <w:b/>
          <w:bCs/>
          <w:color w:val="000000"/>
          <w:sz w:val="36"/>
          <w:szCs w:val="36"/>
        </w:rPr>
        <w:t xml:space="preserve"> de l’extrait </w:t>
      </w:r>
      <w:proofErr w:type="spellStart"/>
      <w:r w:rsidR="00430EBB" w:rsidRPr="00430EBB">
        <w:rPr>
          <w:rFonts w:ascii="Times New Roman" w:hAnsi="Times New Roman" w:cs="Times New Roman"/>
          <w:b/>
          <w:bCs/>
          <w:color w:val="000000"/>
          <w:sz w:val="36"/>
          <w:szCs w:val="36"/>
        </w:rPr>
        <w:t>méthanolique</w:t>
      </w:r>
      <w:proofErr w:type="spellEnd"/>
      <w:r w:rsidR="00430EBB" w:rsidRPr="00430EBB">
        <w:rPr>
          <w:rFonts w:ascii="Times New Roman" w:hAnsi="Times New Roman" w:cs="Times New Roman"/>
          <w:b/>
          <w:bCs/>
          <w:color w:val="000000"/>
          <w:sz w:val="36"/>
          <w:szCs w:val="36"/>
        </w:rPr>
        <w:t xml:space="preserve"> du</w:t>
      </w:r>
      <w:r w:rsidR="00430EBB">
        <w:rPr>
          <w:rFonts w:ascii="Times New Roman" w:hAnsi="Times New Roman" w:cs="Times New Roman"/>
          <w:b/>
          <w:bCs/>
          <w:color w:val="000000"/>
          <w:sz w:val="36"/>
          <w:szCs w:val="36"/>
        </w:rPr>
        <w:t xml:space="preserve"> </w:t>
      </w:r>
      <w:proofErr w:type="spellStart"/>
      <w:r w:rsidR="00430EBB" w:rsidRPr="00430EBB">
        <w:rPr>
          <w:rFonts w:ascii="Times New Roman" w:hAnsi="Times New Roman" w:cs="Times New Roman"/>
          <w:b/>
          <w:bCs/>
          <w:color w:val="000000"/>
          <w:sz w:val="36"/>
          <w:szCs w:val="36"/>
        </w:rPr>
        <w:t>Lepidium</w:t>
      </w:r>
      <w:proofErr w:type="spellEnd"/>
      <w:r w:rsidR="00430EBB" w:rsidRPr="00430EBB">
        <w:rPr>
          <w:rFonts w:ascii="Times New Roman" w:hAnsi="Times New Roman" w:cs="Times New Roman"/>
          <w:b/>
          <w:bCs/>
          <w:color w:val="000000"/>
          <w:sz w:val="36"/>
          <w:szCs w:val="36"/>
        </w:rPr>
        <w:t xml:space="preserve"> </w:t>
      </w:r>
      <w:proofErr w:type="spellStart"/>
      <w:r w:rsidR="00430EBB" w:rsidRPr="00430EBB">
        <w:rPr>
          <w:rFonts w:ascii="Times New Roman" w:hAnsi="Times New Roman" w:cs="Times New Roman"/>
          <w:b/>
          <w:bCs/>
          <w:color w:val="000000"/>
          <w:sz w:val="36"/>
          <w:szCs w:val="36"/>
        </w:rPr>
        <w:t>sativum</w:t>
      </w:r>
      <w:proofErr w:type="spellEnd"/>
      <w:r w:rsidR="00430EBB" w:rsidRPr="00430EBB">
        <w:rPr>
          <w:rFonts w:ascii="Times New Roman" w:hAnsi="Times New Roman" w:cs="Times New Roman"/>
          <w:b/>
          <w:bCs/>
          <w:color w:val="000000"/>
          <w:sz w:val="36"/>
          <w:szCs w:val="36"/>
        </w:rPr>
        <w:t xml:space="preserve"> contre l’</w:t>
      </w:r>
      <w:proofErr w:type="spellStart"/>
      <w:r w:rsidR="00430EBB" w:rsidRPr="00430EBB">
        <w:rPr>
          <w:rFonts w:ascii="Times New Roman" w:hAnsi="Times New Roman" w:cs="Times New Roman"/>
          <w:b/>
          <w:bCs/>
          <w:color w:val="000000"/>
          <w:sz w:val="36"/>
          <w:szCs w:val="36"/>
        </w:rPr>
        <w:t>hépatotoxicité</w:t>
      </w:r>
      <w:proofErr w:type="spellEnd"/>
      <w:r w:rsidR="00430EBB" w:rsidRPr="00430EBB">
        <w:rPr>
          <w:rFonts w:ascii="Times New Roman" w:hAnsi="Times New Roman" w:cs="Times New Roman"/>
          <w:b/>
          <w:bCs/>
          <w:color w:val="000000"/>
          <w:sz w:val="36"/>
          <w:szCs w:val="36"/>
        </w:rPr>
        <w:t xml:space="preserve"> induite par le</w:t>
      </w:r>
      <w:r w:rsidR="00430EBB">
        <w:rPr>
          <w:rFonts w:ascii="Times New Roman" w:hAnsi="Times New Roman" w:cs="Times New Roman"/>
          <w:b/>
          <w:bCs/>
          <w:color w:val="000000"/>
          <w:sz w:val="36"/>
          <w:szCs w:val="36"/>
        </w:rPr>
        <w:t xml:space="preserve"> </w:t>
      </w:r>
      <w:r w:rsidR="00430EBB" w:rsidRPr="00430EBB">
        <w:rPr>
          <w:rFonts w:ascii="Times New Roman" w:hAnsi="Times New Roman" w:cs="Times New Roman"/>
          <w:b/>
          <w:bCs/>
          <w:color w:val="000000"/>
          <w:sz w:val="36"/>
          <w:szCs w:val="36"/>
        </w:rPr>
        <w:t xml:space="preserve">paracétamol chez les souris </w:t>
      </w:r>
      <w:proofErr w:type="spellStart"/>
      <w:r w:rsidR="00430EBB" w:rsidRPr="00430EBB">
        <w:rPr>
          <w:rFonts w:ascii="Times New Roman" w:hAnsi="Times New Roman" w:cs="Times New Roman"/>
          <w:b/>
          <w:bCs/>
          <w:color w:val="000000"/>
          <w:sz w:val="36"/>
          <w:szCs w:val="36"/>
        </w:rPr>
        <w:t>Swiss</w:t>
      </w:r>
      <w:proofErr w:type="spellEnd"/>
      <w:r w:rsidR="00430EBB" w:rsidRPr="00430EBB">
        <w:rPr>
          <w:rFonts w:ascii="Times New Roman" w:hAnsi="Times New Roman" w:cs="Times New Roman"/>
          <w:b/>
          <w:bCs/>
          <w:color w:val="000000"/>
          <w:sz w:val="36"/>
          <w:szCs w:val="36"/>
        </w:rPr>
        <w:t xml:space="preserve"> </w:t>
      </w:r>
      <w:proofErr w:type="spellStart"/>
      <w:r w:rsidR="00430EBB" w:rsidRPr="00430EBB">
        <w:rPr>
          <w:rFonts w:ascii="Times New Roman" w:hAnsi="Times New Roman" w:cs="Times New Roman"/>
          <w:b/>
          <w:bCs/>
          <w:color w:val="000000"/>
          <w:sz w:val="36"/>
          <w:szCs w:val="36"/>
        </w:rPr>
        <w:t>albino</w:t>
      </w:r>
      <w:proofErr w:type="spellEnd"/>
    </w:p>
    <w:p w:rsidR="00C524CC" w:rsidRDefault="00C524CC" w:rsidP="001802A2">
      <w:pPr>
        <w:jc w:val="both"/>
        <w:rPr>
          <w:rFonts w:asciiTheme="majorBidi" w:hAnsiTheme="majorBidi" w:cstheme="majorBidi"/>
          <w:b/>
          <w:bCs/>
          <w:sz w:val="28"/>
          <w:szCs w:val="28"/>
        </w:rPr>
      </w:pPr>
    </w:p>
    <w:p w:rsidR="00E3239A" w:rsidRPr="00C524CC" w:rsidRDefault="00E3239A" w:rsidP="001802A2">
      <w:pPr>
        <w:spacing w:after="0" w:line="480" w:lineRule="auto"/>
        <w:jc w:val="both"/>
        <w:rPr>
          <w:rFonts w:ascii="TimesNewRomanPS-BoldItalicMT" w:eastAsia="Times New Roman" w:hAnsi="TimesNewRomanPS-BoldItalicMT" w:cs="Times New Roman"/>
          <w:b/>
          <w:bCs/>
          <w:i/>
          <w:iCs/>
          <w:color w:val="000000"/>
          <w:sz w:val="34"/>
          <w:szCs w:val="28"/>
          <w:lang w:eastAsia="fr-FR"/>
        </w:rPr>
      </w:pPr>
      <w:r w:rsidRPr="005C4115">
        <w:rPr>
          <w:rFonts w:ascii="TimesNewRomanPS-BoldItalicMT" w:eastAsia="Times New Roman" w:hAnsi="TimesNewRomanPS-BoldItalicMT" w:cs="Times New Roman"/>
          <w:b/>
          <w:bCs/>
          <w:i/>
          <w:iCs/>
          <w:color w:val="000000"/>
          <w:sz w:val="30"/>
          <w:lang w:eastAsia="fr-FR"/>
        </w:rPr>
        <w:t>Résumé</w:t>
      </w:r>
      <w:bookmarkStart w:id="0" w:name="_GoBack"/>
      <w:bookmarkEnd w:id="0"/>
    </w:p>
    <w:p w:rsidR="007C0BFA" w:rsidRPr="007C0BFA" w:rsidRDefault="007C0BFA" w:rsidP="007C0BFA">
      <w:pPr>
        <w:spacing w:after="0" w:line="480" w:lineRule="auto"/>
        <w:rPr>
          <w:rFonts w:ascii="TimesNewRomanPSMT" w:eastAsia="Times New Roman" w:hAnsi="TimesNewRomanPSMT" w:cs="Times New Roman"/>
          <w:color w:val="000000"/>
          <w:sz w:val="24"/>
          <w:szCs w:val="24"/>
          <w:lang w:eastAsia="fr-FR"/>
        </w:rPr>
      </w:pPr>
      <w:r w:rsidRPr="007C0BFA">
        <w:rPr>
          <w:rFonts w:ascii="TimesNewRomanPSMT" w:eastAsia="Times New Roman" w:hAnsi="TimesNewRomanPSMT" w:cs="Times New Roman"/>
          <w:color w:val="000000"/>
          <w:sz w:val="24"/>
          <w:szCs w:val="24"/>
          <w:lang w:eastAsia="fr-FR"/>
        </w:rPr>
        <w:t>L’</w:t>
      </w:r>
      <w:proofErr w:type="spellStart"/>
      <w:r w:rsidRPr="007C0BFA">
        <w:rPr>
          <w:rFonts w:ascii="TimesNewRomanPSMT" w:eastAsia="Times New Roman" w:hAnsi="TimesNewRomanPSMT" w:cs="Times New Roman"/>
          <w:color w:val="000000"/>
          <w:sz w:val="24"/>
          <w:szCs w:val="24"/>
          <w:lang w:eastAsia="fr-FR"/>
        </w:rPr>
        <w:t>hépatotoxicité</w:t>
      </w:r>
      <w:proofErr w:type="spellEnd"/>
      <w:r w:rsidRPr="007C0BFA">
        <w:rPr>
          <w:rFonts w:ascii="TimesNewRomanPSMT" w:eastAsia="Times New Roman" w:hAnsi="TimesNewRomanPSMT" w:cs="Times New Roman"/>
          <w:color w:val="000000"/>
          <w:sz w:val="24"/>
          <w:szCs w:val="24"/>
          <w:lang w:eastAsia="fr-FR"/>
        </w:rPr>
        <w:t xml:space="preserve"> est un effet indésirable causé par plusieurs médicaments, parmi </w:t>
      </w:r>
      <w:proofErr w:type="spellStart"/>
      <w:r w:rsidRPr="007C0BFA">
        <w:rPr>
          <w:rFonts w:ascii="TimesNewRomanPSMT" w:eastAsia="Times New Roman" w:hAnsi="TimesNewRomanPSMT" w:cs="Times New Roman"/>
          <w:color w:val="000000"/>
          <w:sz w:val="24"/>
          <w:szCs w:val="24"/>
          <w:lang w:eastAsia="fr-FR"/>
        </w:rPr>
        <w:t>les quelles</w:t>
      </w:r>
      <w:proofErr w:type="spellEnd"/>
      <w:r w:rsidRPr="007C0BFA">
        <w:rPr>
          <w:rFonts w:ascii="TimesNewRomanPSMT" w:eastAsia="Times New Roman" w:hAnsi="TimesNewRomanPSMT" w:cs="Times New Roman"/>
          <w:color w:val="000000"/>
          <w:sz w:val="24"/>
          <w:szCs w:val="24"/>
          <w:lang w:eastAsia="fr-FR"/>
        </w:rPr>
        <w:t xml:space="preserve"> on retrouve le </w:t>
      </w:r>
      <w:proofErr w:type="spellStart"/>
      <w:r w:rsidRPr="007C0BFA">
        <w:rPr>
          <w:rFonts w:ascii="TimesNewRomanPSMT" w:eastAsia="Times New Roman" w:hAnsi="TimesNewRomanPSMT" w:cs="Times New Roman"/>
          <w:color w:val="000000"/>
          <w:sz w:val="24"/>
          <w:szCs w:val="24"/>
          <w:lang w:eastAsia="fr-FR"/>
        </w:rPr>
        <w:t>paracetamol.le</w:t>
      </w:r>
      <w:proofErr w:type="spellEnd"/>
      <w:r w:rsidRPr="007C0BFA">
        <w:rPr>
          <w:rFonts w:ascii="TimesNewRomanPSMT" w:eastAsia="Times New Roman" w:hAnsi="TimesNewRomanPSMT" w:cs="Times New Roman"/>
          <w:color w:val="000000"/>
          <w:sz w:val="24"/>
          <w:szCs w:val="24"/>
          <w:lang w:eastAsia="fr-FR"/>
        </w:rPr>
        <w:t xml:space="preserve"> surdosage du ce dernier entraine une production accrue et rapide du (NAPQD) qui dépasse la capacité du système antioxydant. Le (NAPQI) s'accumule et se lie aux protéines cellulaires et mitochondriales des hépatocytes. Cette activité conduit à l'expression des lésions cellulaires, et à une nécrose </w:t>
      </w:r>
      <w:proofErr w:type="spellStart"/>
      <w:r w:rsidRPr="007C0BFA">
        <w:rPr>
          <w:rFonts w:ascii="TimesNewRomanPSMT" w:eastAsia="Times New Roman" w:hAnsi="TimesNewRomanPSMT" w:cs="Times New Roman"/>
          <w:color w:val="000000"/>
          <w:sz w:val="24"/>
          <w:szCs w:val="24"/>
          <w:lang w:eastAsia="fr-FR"/>
        </w:rPr>
        <w:t>hepatocytaire</w:t>
      </w:r>
      <w:proofErr w:type="spellEnd"/>
      <w:r w:rsidRPr="007C0BFA">
        <w:rPr>
          <w:rFonts w:ascii="TimesNewRomanPSMT" w:eastAsia="Times New Roman" w:hAnsi="TimesNewRomanPSMT" w:cs="Times New Roman"/>
          <w:color w:val="000000"/>
          <w:sz w:val="24"/>
          <w:szCs w:val="24"/>
          <w:lang w:eastAsia="fr-FR"/>
        </w:rPr>
        <w:t xml:space="preserve"> </w:t>
      </w:r>
      <w:proofErr w:type="spellStart"/>
      <w:r w:rsidRPr="007C0BFA">
        <w:rPr>
          <w:rFonts w:ascii="TimesNewRomanPSMT" w:eastAsia="Times New Roman" w:hAnsi="TimesNewRomanPSMT" w:cs="Times New Roman"/>
          <w:color w:val="000000"/>
          <w:sz w:val="24"/>
          <w:szCs w:val="24"/>
          <w:lang w:eastAsia="fr-FR"/>
        </w:rPr>
        <w:t>centro</w:t>
      </w:r>
      <w:proofErr w:type="spellEnd"/>
      <w:r w:rsidRPr="007C0BFA">
        <w:rPr>
          <w:rFonts w:ascii="TimesNewRomanPSMT" w:eastAsia="Times New Roman" w:hAnsi="TimesNewRomanPSMT" w:cs="Times New Roman"/>
          <w:color w:val="000000"/>
          <w:sz w:val="24"/>
          <w:szCs w:val="24"/>
          <w:lang w:eastAsia="fr-FR"/>
        </w:rPr>
        <w:t xml:space="preserve">- lobulaire. On se basant sur ce postulat, la présente étude vise à souligner les vertus de </w:t>
      </w:r>
      <w:proofErr w:type="spellStart"/>
      <w:r w:rsidRPr="007C0BFA">
        <w:rPr>
          <w:rFonts w:ascii="TimesNewRomanPSMT" w:eastAsia="Times New Roman" w:hAnsi="TimesNewRomanPSMT" w:cs="Times New Roman"/>
          <w:color w:val="000000"/>
          <w:sz w:val="24"/>
          <w:szCs w:val="24"/>
          <w:lang w:eastAsia="fr-FR"/>
        </w:rPr>
        <w:t>Lepidium</w:t>
      </w:r>
      <w:proofErr w:type="spellEnd"/>
      <w:r w:rsidRPr="007C0BFA">
        <w:rPr>
          <w:rFonts w:ascii="TimesNewRomanPSMT" w:eastAsia="Times New Roman" w:hAnsi="TimesNewRomanPSMT" w:cs="Times New Roman"/>
          <w:color w:val="000000"/>
          <w:sz w:val="24"/>
          <w:szCs w:val="24"/>
          <w:lang w:eastAsia="fr-FR"/>
        </w:rPr>
        <w:t xml:space="preserve"> </w:t>
      </w:r>
      <w:proofErr w:type="spellStart"/>
      <w:r w:rsidRPr="007C0BFA">
        <w:rPr>
          <w:rFonts w:ascii="TimesNewRomanPSMT" w:eastAsia="Times New Roman" w:hAnsi="TimesNewRomanPSMT" w:cs="Times New Roman"/>
          <w:color w:val="000000"/>
          <w:sz w:val="24"/>
          <w:szCs w:val="24"/>
          <w:lang w:eastAsia="fr-FR"/>
        </w:rPr>
        <w:t>sativum</w:t>
      </w:r>
      <w:proofErr w:type="spellEnd"/>
      <w:r w:rsidRPr="007C0BFA">
        <w:rPr>
          <w:rFonts w:ascii="TimesNewRomanPSMT" w:eastAsia="Times New Roman" w:hAnsi="TimesNewRomanPSMT" w:cs="Times New Roman"/>
          <w:color w:val="000000"/>
          <w:sz w:val="24"/>
          <w:szCs w:val="24"/>
          <w:lang w:eastAsia="fr-FR"/>
        </w:rPr>
        <w:t xml:space="preserve"> qui est une plante appartient à la famille </w:t>
      </w:r>
      <w:proofErr w:type="spellStart"/>
      <w:r w:rsidRPr="007C0BFA">
        <w:rPr>
          <w:rFonts w:ascii="TimesNewRomanPSMT" w:eastAsia="Times New Roman" w:hAnsi="TimesNewRomanPSMT" w:cs="Times New Roman"/>
          <w:color w:val="000000"/>
          <w:sz w:val="24"/>
          <w:szCs w:val="24"/>
          <w:lang w:eastAsia="fr-FR"/>
        </w:rPr>
        <w:t>Brassicaceae</w:t>
      </w:r>
      <w:proofErr w:type="spellEnd"/>
      <w:r w:rsidRPr="007C0BFA">
        <w:rPr>
          <w:rFonts w:ascii="TimesNewRomanPSMT" w:eastAsia="Times New Roman" w:hAnsi="TimesNewRomanPSMT" w:cs="Times New Roman"/>
          <w:color w:val="000000"/>
          <w:sz w:val="24"/>
          <w:szCs w:val="24"/>
          <w:lang w:eastAsia="fr-FR"/>
        </w:rPr>
        <w:t xml:space="preserve">, elle recèle de multiples propriétés médicinales. Cette étude a été réalisée pour L'évaluation du potentiel effet </w:t>
      </w:r>
      <w:proofErr w:type="spellStart"/>
      <w:r w:rsidRPr="007C0BFA">
        <w:rPr>
          <w:rFonts w:ascii="TimesNewRomanPSMT" w:eastAsia="Times New Roman" w:hAnsi="TimesNewRomanPSMT" w:cs="Times New Roman"/>
          <w:color w:val="000000"/>
          <w:sz w:val="24"/>
          <w:szCs w:val="24"/>
          <w:lang w:eastAsia="fr-FR"/>
        </w:rPr>
        <w:t>hépatoprotecteur</w:t>
      </w:r>
      <w:proofErr w:type="spellEnd"/>
      <w:r w:rsidRPr="007C0BFA">
        <w:rPr>
          <w:rFonts w:ascii="TimesNewRomanPSMT" w:eastAsia="Times New Roman" w:hAnsi="TimesNewRomanPSMT" w:cs="Times New Roman"/>
          <w:color w:val="000000"/>
          <w:sz w:val="24"/>
          <w:szCs w:val="24"/>
          <w:lang w:eastAsia="fr-FR"/>
        </w:rPr>
        <w:t xml:space="preserve"> de l'extrait </w:t>
      </w:r>
      <w:proofErr w:type="spellStart"/>
      <w:r w:rsidRPr="007C0BFA">
        <w:rPr>
          <w:rFonts w:ascii="TimesNewRomanPSMT" w:eastAsia="Times New Roman" w:hAnsi="TimesNewRomanPSMT" w:cs="Times New Roman"/>
          <w:color w:val="000000"/>
          <w:sz w:val="24"/>
          <w:szCs w:val="24"/>
          <w:lang w:eastAsia="fr-FR"/>
        </w:rPr>
        <w:t>méthanolique</w:t>
      </w:r>
      <w:proofErr w:type="spellEnd"/>
      <w:r w:rsidRPr="007C0BFA">
        <w:rPr>
          <w:rFonts w:ascii="TimesNewRomanPSMT" w:eastAsia="Times New Roman" w:hAnsi="TimesNewRomanPSMT" w:cs="Times New Roman"/>
          <w:color w:val="000000"/>
          <w:sz w:val="24"/>
          <w:szCs w:val="24"/>
          <w:lang w:eastAsia="fr-FR"/>
        </w:rPr>
        <w:t xml:space="preserve"> du cresson alénois sur un modèle </w:t>
      </w:r>
      <w:proofErr w:type="spellStart"/>
      <w:r w:rsidRPr="007C0BFA">
        <w:rPr>
          <w:rFonts w:ascii="TimesNewRomanPSMT" w:eastAsia="Times New Roman" w:hAnsi="TimesNewRomanPSMT" w:cs="Times New Roman"/>
          <w:color w:val="000000"/>
          <w:sz w:val="24"/>
          <w:szCs w:val="24"/>
          <w:lang w:eastAsia="fr-FR"/>
        </w:rPr>
        <w:t>experimental</w:t>
      </w:r>
      <w:proofErr w:type="spellEnd"/>
      <w:r w:rsidRPr="007C0BFA">
        <w:rPr>
          <w:rFonts w:ascii="TimesNewRomanPSMT" w:eastAsia="Times New Roman" w:hAnsi="TimesNewRomanPSMT" w:cs="Times New Roman"/>
          <w:color w:val="000000"/>
          <w:sz w:val="24"/>
          <w:szCs w:val="24"/>
          <w:lang w:eastAsia="fr-FR"/>
        </w:rPr>
        <w:t xml:space="preserve"> d'</w:t>
      </w:r>
      <w:proofErr w:type="spellStart"/>
      <w:r w:rsidRPr="007C0BFA">
        <w:rPr>
          <w:rFonts w:ascii="TimesNewRomanPSMT" w:eastAsia="Times New Roman" w:hAnsi="TimesNewRomanPSMT" w:cs="Times New Roman"/>
          <w:color w:val="000000"/>
          <w:sz w:val="24"/>
          <w:szCs w:val="24"/>
          <w:lang w:eastAsia="fr-FR"/>
        </w:rPr>
        <w:t>hepatotoxicité</w:t>
      </w:r>
      <w:proofErr w:type="spellEnd"/>
      <w:r w:rsidRPr="007C0BFA">
        <w:rPr>
          <w:rFonts w:ascii="TimesNewRomanPSMT" w:eastAsia="Times New Roman" w:hAnsi="TimesNewRomanPSMT" w:cs="Times New Roman"/>
          <w:color w:val="000000"/>
          <w:sz w:val="24"/>
          <w:szCs w:val="24"/>
          <w:lang w:eastAsia="fr-FR"/>
        </w:rPr>
        <w:t xml:space="preserve"> induit par le </w:t>
      </w:r>
      <w:proofErr w:type="spellStart"/>
      <w:r w:rsidRPr="007C0BFA">
        <w:rPr>
          <w:rFonts w:ascii="TimesNewRomanPSMT" w:eastAsia="Times New Roman" w:hAnsi="TimesNewRomanPSMT" w:cs="Times New Roman"/>
          <w:color w:val="000000"/>
          <w:sz w:val="24"/>
          <w:szCs w:val="24"/>
          <w:lang w:eastAsia="fr-FR"/>
        </w:rPr>
        <w:t>paracetamol</w:t>
      </w:r>
      <w:proofErr w:type="spellEnd"/>
      <w:r w:rsidRPr="007C0BFA">
        <w:rPr>
          <w:rFonts w:ascii="TimesNewRomanPSMT" w:eastAsia="Times New Roman" w:hAnsi="TimesNewRomanPSMT" w:cs="Times New Roman"/>
          <w:color w:val="000000"/>
          <w:sz w:val="24"/>
          <w:szCs w:val="24"/>
          <w:lang w:eastAsia="fr-FR"/>
        </w:rPr>
        <w:t xml:space="preserve">. Nos résultats </w:t>
      </w:r>
      <w:proofErr w:type="gramStart"/>
      <w:r w:rsidRPr="007C0BFA">
        <w:rPr>
          <w:rFonts w:ascii="TimesNewRomanPSMT" w:eastAsia="Times New Roman" w:hAnsi="TimesNewRomanPSMT" w:cs="Times New Roman"/>
          <w:color w:val="000000"/>
          <w:sz w:val="24"/>
          <w:szCs w:val="24"/>
          <w:lang w:eastAsia="fr-FR"/>
        </w:rPr>
        <w:t>a</w:t>
      </w:r>
      <w:proofErr w:type="gramEnd"/>
      <w:r w:rsidRPr="007C0BFA">
        <w:rPr>
          <w:rFonts w:ascii="TimesNewRomanPSMT" w:eastAsia="Times New Roman" w:hAnsi="TimesNewRomanPSMT" w:cs="Times New Roman"/>
          <w:color w:val="000000"/>
          <w:sz w:val="24"/>
          <w:szCs w:val="24"/>
          <w:lang w:eastAsia="fr-FR"/>
        </w:rPr>
        <w:t xml:space="preserve"> révélé que l'administration de l'EM de cresson alénois induit une amélioration marqué de la structure histologique hépatique, avec une diminution de l'état de nécrose.</w:t>
      </w:r>
    </w:p>
    <w:p w:rsidR="007C0BFA" w:rsidRPr="007C0BFA" w:rsidRDefault="007C0BFA" w:rsidP="007C0BFA">
      <w:pPr>
        <w:spacing w:after="0" w:line="480" w:lineRule="auto"/>
        <w:rPr>
          <w:rFonts w:ascii="TimesNewRomanPSMT" w:eastAsia="Times New Roman" w:hAnsi="TimesNewRomanPSMT" w:cs="Times New Roman"/>
          <w:b/>
          <w:bCs/>
          <w:color w:val="000000"/>
          <w:sz w:val="24"/>
          <w:szCs w:val="24"/>
          <w:lang w:eastAsia="fr-FR"/>
        </w:rPr>
      </w:pPr>
      <w:r w:rsidRPr="007C0BFA">
        <w:rPr>
          <w:rFonts w:ascii="TimesNewRomanPSMT" w:eastAsia="Times New Roman" w:hAnsi="TimesNewRomanPSMT" w:cs="Times New Roman"/>
          <w:b/>
          <w:bCs/>
          <w:color w:val="000000"/>
          <w:sz w:val="26"/>
          <w:szCs w:val="28"/>
          <w:lang w:eastAsia="fr-FR"/>
        </w:rPr>
        <w:t>Abstract </w:t>
      </w:r>
      <w:r>
        <w:rPr>
          <w:rFonts w:ascii="TimesNewRomanPSMT" w:eastAsia="Times New Roman" w:hAnsi="TimesNewRomanPSMT" w:cs="Times New Roman"/>
          <w:b/>
          <w:bCs/>
          <w:color w:val="000000"/>
          <w:sz w:val="24"/>
          <w:szCs w:val="24"/>
          <w:lang w:eastAsia="fr-FR"/>
        </w:rPr>
        <w:t>:</w:t>
      </w:r>
    </w:p>
    <w:p w:rsidR="00014BDB" w:rsidRPr="007C0BFA" w:rsidRDefault="007C0BFA" w:rsidP="007C0BFA">
      <w:pPr>
        <w:spacing w:after="0" w:line="480" w:lineRule="auto"/>
        <w:rPr>
          <w:rFonts w:asciiTheme="majorBidi" w:hAnsiTheme="majorBidi" w:cstheme="majorBidi"/>
          <w:sz w:val="24"/>
          <w:szCs w:val="24"/>
          <w:lang w:val="en-GB"/>
        </w:rPr>
      </w:pPr>
      <w:r w:rsidRPr="007C0BFA">
        <w:rPr>
          <w:rFonts w:ascii="TimesNewRomanPSMT" w:eastAsia="Times New Roman" w:hAnsi="TimesNewRomanPSMT" w:cs="Times New Roman"/>
          <w:color w:val="000000"/>
          <w:sz w:val="24"/>
          <w:szCs w:val="24"/>
          <w:lang w:val="en-GB" w:eastAsia="fr-FR"/>
        </w:rPr>
        <w:t xml:space="preserve">Hepatotoxicity is an undesirable effect caused by several drugs, among which we find paracetamol. The overdose of (APAP) leads to an increased and rapid production of (NAPQD) which exceeds the capacity of the antioxidant system. (NAPQI) accumulates and binds to cellular and mitochondrial proteins of hepatocytes. This activity leads to the expression of cellular lesions, and to </w:t>
      </w:r>
      <w:proofErr w:type="spellStart"/>
      <w:r w:rsidRPr="007C0BFA">
        <w:rPr>
          <w:rFonts w:ascii="TimesNewRomanPSMT" w:eastAsia="Times New Roman" w:hAnsi="TimesNewRomanPSMT" w:cs="Times New Roman"/>
          <w:color w:val="000000"/>
          <w:sz w:val="24"/>
          <w:szCs w:val="24"/>
          <w:lang w:val="en-GB" w:eastAsia="fr-FR"/>
        </w:rPr>
        <w:t>centrolobular</w:t>
      </w:r>
      <w:proofErr w:type="spellEnd"/>
      <w:r w:rsidRPr="007C0BFA">
        <w:rPr>
          <w:rFonts w:ascii="TimesNewRomanPSMT" w:eastAsia="Times New Roman" w:hAnsi="TimesNewRomanPSMT" w:cs="Times New Roman"/>
          <w:color w:val="000000"/>
          <w:sz w:val="24"/>
          <w:szCs w:val="24"/>
          <w:lang w:val="en-GB" w:eastAsia="fr-FR"/>
        </w:rPr>
        <w:t xml:space="preserve"> hepatocyte necrosis. Based on this premise, the present study aims to highlight the virtues of </w:t>
      </w:r>
      <w:proofErr w:type="spellStart"/>
      <w:r w:rsidRPr="007C0BFA">
        <w:rPr>
          <w:rFonts w:ascii="TimesNewRomanPSMT" w:eastAsia="Times New Roman" w:hAnsi="TimesNewRomanPSMT" w:cs="Times New Roman"/>
          <w:color w:val="000000"/>
          <w:sz w:val="24"/>
          <w:szCs w:val="24"/>
          <w:lang w:val="en-GB" w:eastAsia="fr-FR"/>
        </w:rPr>
        <w:t>Lepidium</w:t>
      </w:r>
      <w:proofErr w:type="spellEnd"/>
      <w:r w:rsidRPr="007C0BFA">
        <w:rPr>
          <w:rFonts w:ascii="TimesNewRomanPSMT" w:eastAsia="Times New Roman" w:hAnsi="TimesNewRomanPSMT" w:cs="Times New Roman"/>
          <w:color w:val="000000"/>
          <w:sz w:val="24"/>
          <w:szCs w:val="24"/>
          <w:lang w:val="en-GB" w:eastAsia="fr-FR"/>
        </w:rPr>
        <w:t xml:space="preserve"> </w:t>
      </w:r>
      <w:proofErr w:type="spellStart"/>
      <w:r w:rsidRPr="007C0BFA">
        <w:rPr>
          <w:rFonts w:ascii="TimesNewRomanPSMT" w:eastAsia="Times New Roman" w:hAnsi="TimesNewRomanPSMT" w:cs="Times New Roman"/>
          <w:color w:val="000000"/>
          <w:sz w:val="24"/>
          <w:szCs w:val="24"/>
          <w:lang w:val="en-GB" w:eastAsia="fr-FR"/>
        </w:rPr>
        <w:t>sativum</w:t>
      </w:r>
      <w:proofErr w:type="spellEnd"/>
      <w:r w:rsidRPr="007C0BFA">
        <w:rPr>
          <w:rFonts w:ascii="TimesNewRomanPSMT" w:eastAsia="Times New Roman" w:hAnsi="TimesNewRomanPSMT" w:cs="Times New Roman"/>
          <w:color w:val="000000"/>
          <w:sz w:val="24"/>
          <w:szCs w:val="24"/>
          <w:lang w:val="en-GB" w:eastAsia="fr-FR"/>
        </w:rPr>
        <w:t xml:space="preserve"> which is a plant belonging to the </w:t>
      </w:r>
      <w:proofErr w:type="spellStart"/>
      <w:r w:rsidRPr="007C0BFA">
        <w:rPr>
          <w:rFonts w:ascii="TimesNewRomanPSMT" w:eastAsia="Times New Roman" w:hAnsi="TimesNewRomanPSMT" w:cs="Times New Roman"/>
          <w:color w:val="000000"/>
          <w:sz w:val="24"/>
          <w:szCs w:val="24"/>
          <w:lang w:val="en-GB" w:eastAsia="fr-FR"/>
        </w:rPr>
        <w:t>Brassicaceae</w:t>
      </w:r>
      <w:proofErr w:type="spellEnd"/>
      <w:r w:rsidRPr="007C0BFA">
        <w:rPr>
          <w:rFonts w:ascii="TimesNewRomanPSMT" w:eastAsia="Times New Roman" w:hAnsi="TimesNewRomanPSMT" w:cs="Times New Roman"/>
          <w:color w:val="000000"/>
          <w:sz w:val="24"/>
          <w:szCs w:val="24"/>
          <w:lang w:val="en-GB" w:eastAsia="fr-FR"/>
        </w:rPr>
        <w:t xml:space="preserve"> family, it has multiple medicinal properties. This study was </w:t>
      </w:r>
      <w:r w:rsidRPr="007C0BFA">
        <w:rPr>
          <w:rFonts w:ascii="TimesNewRomanPSMT" w:eastAsia="Times New Roman" w:hAnsi="TimesNewRomanPSMT" w:cs="Times New Roman"/>
          <w:color w:val="000000"/>
          <w:sz w:val="24"/>
          <w:szCs w:val="24"/>
          <w:lang w:val="en-GB" w:eastAsia="fr-FR"/>
        </w:rPr>
        <w:lastRenderedPageBreak/>
        <w:t xml:space="preserve">carried out for the evaluation of the potential </w:t>
      </w:r>
      <w:proofErr w:type="spellStart"/>
      <w:r w:rsidRPr="007C0BFA">
        <w:rPr>
          <w:rFonts w:ascii="TimesNewRomanPSMT" w:eastAsia="Times New Roman" w:hAnsi="TimesNewRomanPSMT" w:cs="Times New Roman"/>
          <w:color w:val="000000"/>
          <w:sz w:val="24"/>
          <w:szCs w:val="24"/>
          <w:lang w:val="en-GB" w:eastAsia="fr-FR"/>
        </w:rPr>
        <w:t>hepatoprotective</w:t>
      </w:r>
      <w:proofErr w:type="spellEnd"/>
      <w:r w:rsidRPr="007C0BFA">
        <w:rPr>
          <w:rFonts w:ascii="TimesNewRomanPSMT" w:eastAsia="Times New Roman" w:hAnsi="TimesNewRomanPSMT" w:cs="Times New Roman"/>
          <w:color w:val="000000"/>
          <w:sz w:val="24"/>
          <w:szCs w:val="24"/>
          <w:lang w:val="en-GB" w:eastAsia="fr-FR"/>
        </w:rPr>
        <w:t xml:space="preserve"> effect of the </w:t>
      </w:r>
      <w:proofErr w:type="spellStart"/>
      <w:r w:rsidRPr="007C0BFA">
        <w:rPr>
          <w:rFonts w:ascii="TimesNewRomanPSMT" w:eastAsia="Times New Roman" w:hAnsi="TimesNewRomanPSMT" w:cs="Times New Roman"/>
          <w:color w:val="000000"/>
          <w:sz w:val="24"/>
          <w:szCs w:val="24"/>
          <w:lang w:val="en-GB" w:eastAsia="fr-FR"/>
        </w:rPr>
        <w:t>methanolic</w:t>
      </w:r>
      <w:proofErr w:type="spellEnd"/>
      <w:r w:rsidRPr="007C0BFA">
        <w:rPr>
          <w:rFonts w:ascii="TimesNewRomanPSMT" w:eastAsia="Times New Roman" w:hAnsi="TimesNewRomanPSMT" w:cs="Times New Roman"/>
          <w:color w:val="000000"/>
          <w:sz w:val="24"/>
          <w:szCs w:val="24"/>
          <w:lang w:val="en-GB" w:eastAsia="fr-FR"/>
        </w:rPr>
        <w:t xml:space="preserve"> extract of garden cress on an experimental model of hepatotoxicity induced by paracetamol. Our results revealed that the administration of garden cress EM induced a marked improvement in hepatic histological structure, with a decrease in the state of necrosis</w:t>
      </w:r>
    </w:p>
    <w:sectPr w:rsidR="00014BDB" w:rsidRPr="007C0BFA"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23"/>
    <w:rsid w:val="000004A2"/>
    <w:rsid w:val="000026F5"/>
    <w:rsid w:val="00002E07"/>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77A61"/>
    <w:rsid w:val="00085C47"/>
    <w:rsid w:val="000950D1"/>
    <w:rsid w:val="00097B98"/>
    <w:rsid w:val="000A3E72"/>
    <w:rsid w:val="000A5EC4"/>
    <w:rsid w:val="000A7FF3"/>
    <w:rsid w:val="000C095C"/>
    <w:rsid w:val="000C33E7"/>
    <w:rsid w:val="000C3784"/>
    <w:rsid w:val="000C5939"/>
    <w:rsid w:val="000C6457"/>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B44"/>
    <w:rsid w:val="00160E5C"/>
    <w:rsid w:val="00163F5F"/>
    <w:rsid w:val="00164790"/>
    <w:rsid w:val="00165B07"/>
    <w:rsid w:val="00167702"/>
    <w:rsid w:val="0017227E"/>
    <w:rsid w:val="001802A2"/>
    <w:rsid w:val="001821E0"/>
    <w:rsid w:val="00185300"/>
    <w:rsid w:val="00195BFE"/>
    <w:rsid w:val="001A2ABC"/>
    <w:rsid w:val="001A3BF2"/>
    <w:rsid w:val="001B0BBA"/>
    <w:rsid w:val="001B3597"/>
    <w:rsid w:val="001B5F10"/>
    <w:rsid w:val="001B760B"/>
    <w:rsid w:val="001B7FF5"/>
    <w:rsid w:val="001D715D"/>
    <w:rsid w:val="001E3BD9"/>
    <w:rsid w:val="001E4E03"/>
    <w:rsid w:val="001E685D"/>
    <w:rsid w:val="001E6D87"/>
    <w:rsid w:val="001F1958"/>
    <w:rsid w:val="001F2A0C"/>
    <w:rsid w:val="001F53FC"/>
    <w:rsid w:val="001F605C"/>
    <w:rsid w:val="001F6C4C"/>
    <w:rsid w:val="00206A26"/>
    <w:rsid w:val="00213072"/>
    <w:rsid w:val="00223872"/>
    <w:rsid w:val="00224328"/>
    <w:rsid w:val="002259D3"/>
    <w:rsid w:val="002271B4"/>
    <w:rsid w:val="00230346"/>
    <w:rsid w:val="00231958"/>
    <w:rsid w:val="00237A83"/>
    <w:rsid w:val="00244170"/>
    <w:rsid w:val="00245A88"/>
    <w:rsid w:val="002468DF"/>
    <w:rsid w:val="00253783"/>
    <w:rsid w:val="002571F9"/>
    <w:rsid w:val="00260855"/>
    <w:rsid w:val="002654B4"/>
    <w:rsid w:val="00266946"/>
    <w:rsid w:val="002715CB"/>
    <w:rsid w:val="00271B15"/>
    <w:rsid w:val="00280657"/>
    <w:rsid w:val="00281D91"/>
    <w:rsid w:val="002847F8"/>
    <w:rsid w:val="00286046"/>
    <w:rsid w:val="00287EA4"/>
    <w:rsid w:val="00290020"/>
    <w:rsid w:val="00290B28"/>
    <w:rsid w:val="00290E40"/>
    <w:rsid w:val="002B044C"/>
    <w:rsid w:val="002B176B"/>
    <w:rsid w:val="002B18A5"/>
    <w:rsid w:val="002B2CC4"/>
    <w:rsid w:val="002C0B7F"/>
    <w:rsid w:val="002C2E07"/>
    <w:rsid w:val="002D5BCF"/>
    <w:rsid w:val="002E22CB"/>
    <w:rsid w:val="002E5A10"/>
    <w:rsid w:val="002E6149"/>
    <w:rsid w:val="002E626A"/>
    <w:rsid w:val="002E71AD"/>
    <w:rsid w:val="002F0D90"/>
    <w:rsid w:val="00302140"/>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4A2E"/>
    <w:rsid w:val="003A4CB1"/>
    <w:rsid w:val="003B1531"/>
    <w:rsid w:val="003B1590"/>
    <w:rsid w:val="003B1DA7"/>
    <w:rsid w:val="003B2597"/>
    <w:rsid w:val="003B4224"/>
    <w:rsid w:val="003B5AC6"/>
    <w:rsid w:val="003B71E6"/>
    <w:rsid w:val="003C5C83"/>
    <w:rsid w:val="003C6236"/>
    <w:rsid w:val="003D4DA6"/>
    <w:rsid w:val="003E5A3D"/>
    <w:rsid w:val="003E65B7"/>
    <w:rsid w:val="003E68E0"/>
    <w:rsid w:val="003F1E1E"/>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0EBB"/>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A63F9"/>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27913"/>
    <w:rsid w:val="005312B9"/>
    <w:rsid w:val="0053351F"/>
    <w:rsid w:val="005339F2"/>
    <w:rsid w:val="00537043"/>
    <w:rsid w:val="00537264"/>
    <w:rsid w:val="0054072E"/>
    <w:rsid w:val="00547480"/>
    <w:rsid w:val="00551710"/>
    <w:rsid w:val="00552010"/>
    <w:rsid w:val="005548C4"/>
    <w:rsid w:val="00554A2A"/>
    <w:rsid w:val="005633DD"/>
    <w:rsid w:val="00563D16"/>
    <w:rsid w:val="00567B6D"/>
    <w:rsid w:val="005803A4"/>
    <w:rsid w:val="00580FD4"/>
    <w:rsid w:val="00583A2B"/>
    <w:rsid w:val="005851EE"/>
    <w:rsid w:val="0058616F"/>
    <w:rsid w:val="00591C3B"/>
    <w:rsid w:val="005931D3"/>
    <w:rsid w:val="005953C9"/>
    <w:rsid w:val="005A0131"/>
    <w:rsid w:val="005A035E"/>
    <w:rsid w:val="005A4D26"/>
    <w:rsid w:val="005B153C"/>
    <w:rsid w:val="005B6238"/>
    <w:rsid w:val="005C1E40"/>
    <w:rsid w:val="005C4115"/>
    <w:rsid w:val="005C6BD8"/>
    <w:rsid w:val="005C760F"/>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EE0"/>
    <w:rsid w:val="0064440D"/>
    <w:rsid w:val="006501FF"/>
    <w:rsid w:val="006532C0"/>
    <w:rsid w:val="006538C5"/>
    <w:rsid w:val="00654E58"/>
    <w:rsid w:val="00655037"/>
    <w:rsid w:val="00656EE3"/>
    <w:rsid w:val="00660C4B"/>
    <w:rsid w:val="0066163B"/>
    <w:rsid w:val="0066174D"/>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2CFD"/>
    <w:rsid w:val="007139BC"/>
    <w:rsid w:val="00720E1E"/>
    <w:rsid w:val="00733CB7"/>
    <w:rsid w:val="007364C3"/>
    <w:rsid w:val="00736AB3"/>
    <w:rsid w:val="00753199"/>
    <w:rsid w:val="0076153D"/>
    <w:rsid w:val="00763E66"/>
    <w:rsid w:val="0076629B"/>
    <w:rsid w:val="00767A41"/>
    <w:rsid w:val="00767ACD"/>
    <w:rsid w:val="0077504F"/>
    <w:rsid w:val="00780C91"/>
    <w:rsid w:val="00783365"/>
    <w:rsid w:val="00791B1D"/>
    <w:rsid w:val="00794F40"/>
    <w:rsid w:val="007974A3"/>
    <w:rsid w:val="007A094D"/>
    <w:rsid w:val="007A3F0E"/>
    <w:rsid w:val="007A5547"/>
    <w:rsid w:val="007A5F7C"/>
    <w:rsid w:val="007B23FC"/>
    <w:rsid w:val="007B2782"/>
    <w:rsid w:val="007B30D3"/>
    <w:rsid w:val="007B383B"/>
    <w:rsid w:val="007C0B6B"/>
    <w:rsid w:val="007C0BFA"/>
    <w:rsid w:val="007C27C7"/>
    <w:rsid w:val="007C2A1D"/>
    <w:rsid w:val="007C33FB"/>
    <w:rsid w:val="007C6A43"/>
    <w:rsid w:val="007D0E3C"/>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0496D"/>
    <w:rsid w:val="00911721"/>
    <w:rsid w:val="00912940"/>
    <w:rsid w:val="0092282F"/>
    <w:rsid w:val="0092393D"/>
    <w:rsid w:val="009239BD"/>
    <w:rsid w:val="00925C01"/>
    <w:rsid w:val="00926842"/>
    <w:rsid w:val="00927225"/>
    <w:rsid w:val="009300C5"/>
    <w:rsid w:val="00931325"/>
    <w:rsid w:val="00932FB0"/>
    <w:rsid w:val="00933020"/>
    <w:rsid w:val="0093369A"/>
    <w:rsid w:val="00933DBD"/>
    <w:rsid w:val="00942134"/>
    <w:rsid w:val="00942F05"/>
    <w:rsid w:val="00956A23"/>
    <w:rsid w:val="0097358C"/>
    <w:rsid w:val="00975AC3"/>
    <w:rsid w:val="00981757"/>
    <w:rsid w:val="00981A85"/>
    <w:rsid w:val="00982B38"/>
    <w:rsid w:val="0098530A"/>
    <w:rsid w:val="0098561F"/>
    <w:rsid w:val="00990B4A"/>
    <w:rsid w:val="00991045"/>
    <w:rsid w:val="00993B0D"/>
    <w:rsid w:val="00994FC7"/>
    <w:rsid w:val="009970FF"/>
    <w:rsid w:val="009A6E13"/>
    <w:rsid w:val="009B0A27"/>
    <w:rsid w:val="009B4EA7"/>
    <w:rsid w:val="009C0133"/>
    <w:rsid w:val="009C0FA2"/>
    <w:rsid w:val="009C18EA"/>
    <w:rsid w:val="009C39E5"/>
    <w:rsid w:val="009C5E2C"/>
    <w:rsid w:val="009D7C09"/>
    <w:rsid w:val="009E0E9D"/>
    <w:rsid w:val="009E7FA0"/>
    <w:rsid w:val="009F4626"/>
    <w:rsid w:val="009F6FE0"/>
    <w:rsid w:val="009F7580"/>
    <w:rsid w:val="00A01FAB"/>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C00329"/>
    <w:rsid w:val="00C01CE9"/>
    <w:rsid w:val="00C021E9"/>
    <w:rsid w:val="00C073FE"/>
    <w:rsid w:val="00C0756C"/>
    <w:rsid w:val="00C0783B"/>
    <w:rsid w:val="00C34444"/>
    <w:rsid w:val="00C3640B"/>
    <w:rsid w:val="00C36CAB"/>
    <w:rsid w:val="00C4020C"/>
    <w:rsid w:val="00C42A85"/>
    <w:rsid w:val="00C45ABF"/>
    <w:rsid w:val="00C47FC5"/>
    <w:rsid w:val="00C524CC"/>
    <w:rsid w:val="00C54C21"/>
    <w:rsid w:val="00C6014A"/>
    <w:rsid w:val="00C67D36"/>
    <w:rsid w:val="00C71BB7"/>
    <w:rsid w:val="00C7692F"/>
    <w:rsid w:val="00C81971"/>
    <w:rsid w:val="00C82BBE"/>
    <w:rsid w:val="00C83CFB"/>
    <w:rsid w:val="00C87E3E"/>
    <w:rsid w:val="00C91157"/>
    <w:rsid w:val="00C917BE"/>
    <w:rsid w:val="00C92B1D"/>
    <w:rsid w:val="00C93CAF"/>
    <w:rsid w:val="00C94EC9"/>
    <w:rsid w:val="00C9791F"/>
    <w:rsid w:val="00CA57DE"/>
    <w:rsid w:val="00CA5C48"/>
    <w:rsid w:val="00CB25D5"/>
    <w:rsid w:val="00CB632E"/>
    <w:rsid w:val="00CB7371"/>
    <w:rsid w:val="00CC0881"/>
    <w:rsid w:val="00CC3C20"/>
    <w:rsid w:val="00CC587E"/>
    <w:rsid w:val="00CC6A19"/>
    <w:rsid w:val="00CD24BD"/>
    <w:rsid w:val="00CD3FBF"/>
    <w:rsid w:val="00CD4FDC"/>
    <w:rsid w:val="00CD6945"/>
    <w:rsid w:val="00CD6DD2"/>
    <w:rsid w:val="00CD7024"/>
    <w:rsid w:val="00CD7745"/>
    <w:rsid w:val="00CE2867"/>
    <w:rsid w:val="00CF023A"/>
    <w:rsid w:val="00CF1F46"/>
    <w:rsid w:val="00D0257B"/>
    <w:rsid w:val="00D038A5"/>
    <w:rsid w:val="00D06B61"/>
    <w:rsid w:val="00D06E52"/>
    <w:rsid w:val="00D07586"/>
    <w:rsid w:val="00D14D34"/>
    <w:rsid w:val="00D2082B"/>
    <w:rsid w:val="00D2743F"/>
    <w:rsid w:val="00D33341"/>
    <w:rsid w:val="00D43823"/>
    <w:rsid w:val="00D53FD0"/>
    <w:rsid w:val="00D541C4"/>
    <w:rsid w:val="00D66A86"/>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051F"/>
    <w:rsid w:val="00DA22C7"/>
    <w:rsid w:val="00DA6549"/>
    <w:rsid w:val="00DA7C4F"/>
    <w:rsid w:val="00DB7248"/>
    <w:rsid w:val="00DB7B7A"/>
    <w:rsid w:val="00DB7F4C"/>
    <w:rsid w:val="00DC0DBB"/>
    <w:rsid w:val="00DC2038"/>
    <w:rsid w:val="00DC438B"/>
    <w:rsid w:val="00DC45E2"/>
    <w:rsid w:val="00DC79DF"/>
    <w:rsid w:val="00DD26B1"/>
    <w:rsid w:val="00DD6868"/>
    <w:rsid w:val="00DE484A"/>
    <w:rsid w:val="00DE59D2"/>
    <w:rsid w:val="00DF6982"/>
    <w:rsid w:val="00E07663"/>
    <w:rsid w:val="00E13163"/>
    <w:rsid w:val="00E17434"/>
    <w:rsid w:val="00E20875"/>
    <w:rsid w:val="00E20A3A"/>
    <w:rsid w:val="00E24F76"/>
    <w:rsid w:val="00E31C8E"/>
    <w:rsid w:val="00E3239A"/>
    <w:rsid w:val="00E3698B"/>
    <w:rsid w:val="00E36CD4"/>
    <w:rsid w:val="00E44614"/>
    <w:rsid w:val="00E50CC7"/>
    <w:rsid w:val="00E60A52"/>
    <w:rsid w:val="00E64E0B"/>
    <w:rsid w:val="00E72E93"/>
    <w:rsid w:val="00E75B1B"/>
    <w:rsid w:val="00E87CA4"/>
    <w:rsid w:val="00E94EA3"/>
    <w:rsid w:val="00EA1340"/>
    <w:rsid w:val="00EA2FF7"/>
    <w:rsid w:val="00EA5655"/>
    <w:rsid w:val="00EA5C55"/>
    <w:rsid w:val="00EA7D26"/>
    <w:rsid w:val="00EC041F"/>
    <w:rsid w:val="00EC118A"/>
    <w:rsid w:val="00EC3615"/>
    <w:rsid w:val="00ED4FE6"/>
    <w:rsid w:val="00ED624D"/>
    <w:rsid w:val="00EE413A"/>
    <w:rsid w:val="00EE4527"/>
    <w:rsid w:val="00EE6EA6"/>
    <w:rsid w:val="00EE7CF1"/>
    <w:rsid w:val="00EF1CF8"/>
    <w:rsid w:val="00EF676F"/>
    <w:rsid w:val="00EF7E50"/>
    <w:rsid w:val="00F0165E"/>
    <w:rsid w:val="00F07E0B"/>
    <w:rsid w:val="00F11341"/>
    <w:rsid w:val="00F145BF"/>
    <w:rsid w:val="00F212C3"/>
    <w:rsid w:val="00F3067B"/>
    <w:rsid w:val="00F31AE3"/>
    <w:rsid w:val="00F44E49"/>
    <w:rsid w:val="00F46431"/>
    <w:rsid w:val="00F47483"/>
    <w:rsid w:val="00F5088E"/>
    <w:rsid w:val="00F64269"/>
    <w:rsid w:val="00F64353"/>
    <w:rsid w:val="00F65298"/>
    <w:rsid w:val="00F76E6F"/>
    <w:rsid w:val="00F8781E"/>
    <w:rsid w:val="00F9150C"/>
    <w:rsid w:val="00F94712"/>
    <w:rsid w:val="00F949FD"/>
    <w:rsid w:val="00FA050C"/>
    <w:rsid w:val="00FA3D02"/>
    <w:rsid w:val="00FB054B"/>
    <w:rsid w:val="00FB3973"/>
    <w:rsid w:val="00FB62FA"/>
    <w:rsid w:val="00FC4FB6"/>
    <w:rsid w:val="00FC5C1C"/>
    <w:rsid w:val="00FC6BFF"/>
    <w:rsid w:val="00FC7614"/>
    <w:rsid w:val="00FD0A19"/>
    <w:rsid w:val="00FD56C9"/>
    <w:rsid w:val="00FE09B1"/>
    <w:rsid w:val="00FE1269"/>
    <w:rsid w:val="00FE3FA6"/>
    <w:rsid w:val="00FE5272"/>
    <w:rsid w:val="00FF04B0"/>
    <w:rsid w:val="00FF0BCC"/>
    <w:rsid w:val="00FF243E"/>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F987F-C9D6-43F0-80CD-747CAAD5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66174D"/>
    <w:rPr>
      <w:rFonts w:ascii="Times New Roman" w:hAnsi="Times New Roman" w:cs="Times New Roman" w:hint="default"/>
      <w:b w:val="0"/>
      <w:bCs w:val="0"/>
      <w:i w:val="0"/>
      <w:iCs w:val="0"/>
      <w:color w:val="000000"/>
      <w:sz w:val="20"/>
      <w:szCs w:val="20"/>
    </w:rPr>
  </w:style>
  <w:style w:type="character" w:customStyle="1" w:styleId="fontstyle21">
    <w:name w:val="fontstyle21"/>
    <w:basedOn w:val="Policepardfaut"/>
    <w:rsid w:val="000A5EC4"/>
    <w:rPr>
      <w:rFonts w:ascii="Times New Roman" w:hAnsi="Times New Roman" w:cs="Times New Roman" w:hint="default"/>
      <w:b/>
      <w:bCs/>
      <w:i/>
      <w:iCs/>
      <w:color w:val="000000"/>
      <w:sz w:val="36"/>
      <w:szCs w:val="36"/>
    </w:rPr>
  </w:style>
  <w:style w:type="character" w:customStyle="1" w:styleId="fontstyle11">
    <w:name w:val="fontstyle11"/>
    <w:basedOn w:val="Policepardfaut"/>
    <w:rsid w:val="00E3239A"/>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5271">
      <w:bodyDiv w:val="1"/>
      <w:marLeft w:val="0"/>
      <w:marRight w:val="0"/>
      <w:marTop w:val="0"/>
      <w:marBottom w:val="0"/>
      <w:divBdr>
        <w:top w:val="none" w:sz="0" w:space="0" w:color="auto"/>
        <w:left w:val="none" w:sz="0" w:space="0" w:color="auto"/>
        <w:bottom w:val="none" w:sz="0" w:space="0" w:color="auto"/>
        <w:right w:val="none" w:sz="0" w:space="0" w:color="auto"/>
      </w:divBdr>
    </w:div>
    <w:div w:id="225341194">
      <w:bodyDiv w:val="1"/>
      <w:marLeft w:val="0"/>
      <w:marRight w:val="0"/>
      <w:marTop w:val="0"/>
      <w:marBottom w:val="0"/>
      <w:divBdr>
        <w:top w:val="none" w:sz="0" w:space="0" w:color="auto"/>
        <w:left w:val="none" w:sz="0" w:space="0" w:color="auto"/>
        <w:bottom w:val="none" w:sz="0" w:space="0" w:color="auto"/>
        <w:right w:val="none" w:sz="0" w:space="0" w:color="auto"/>
      </w:divBdr>
    </w:div>
    <w:div w:id="306130971">
      <w:bodyDiv w:val="1"/>
      <w:marLeft w:val="0"/>
      <w:marRight w:val="0"/>
      <w:marTop w:val="0"/>
      <w:marBottom w:val="0"/>
      <w:divBdr>
        <w:top w:val="none" w:sz="0" w:space="0" w:color="auto"/>
        <w:left w:val="none" w:sz="0" w:space="0" w:color="auto"/>
        <w:bottom w:val="none" w:sz="0" w:space="0" w:color="auto"/>
        <w:right w:val="none" w:sz="0" w:space="0" w:color="auto"/>
      </w:divBdr>
    </w:div>
    <w:div w:id="344746439">
      <w:bodyDiv w:val="1"/>
      <w:marLeft w:val="0"/>
      <w:marRight w:val="0"/>
      <w:marTop w:val="0"/>
      <w:marBottom w:val="0"/>
      <w:divBdr>
        <w:top w:val="none" w:sz="0" w:space="0" w:color="auto"/>
        <w:left w:val="none" w:sz="0" w:space="0" w:color="auto"/>
        <w:bottom w:val="none" w:sz="0" w:space="0" w:color="auto"/>
        <w:right w:val="none" w:sz="0" w:space="0" w:color="auto"/>
      </w:divBdr>
    </w:div>
    <w:div w:id="441146039">
      <w:bodyDiv w:val="1"/>
      <w:marLeft w:val="0"/>
      <w:marRight w:val="0"/>
      <w:marTop w:val="0"/>
      <w:marBottom w:val="0"/>
      <w:divBdr>
        <w:top w:val="none" w:sz="0" w:space="0" w:color="auto"/>
        <w:left w:val="none" w:sz="0" w:space="0" w:color="auto"/>
        <w:bottom w:val="none" w:sz="0" w:space="0" w:color="auto"/>
        <w:right w:val="none" w:sz="0" w:space="0" w:color="auto"/>
      </w:divBdr>
    </w:div>
    <w:div w:id="574169386">
      <w:bodyDiv w:val="1"/>
      <w:marLeft w:val="0"/>
      <w:marRight w:val="0"/>
      <w:marTop w:val="0"/>
      <w:marBottom w:val="0"/>
      <w:divBdr>
        <w:top w:val="none" w:sz="0" w:space="0" w:color="auto"/>
        <w:left w:val="none" w:sz="0" w:space="0" w:color="auto"/>
        <w:bottom w:val="none" w:sz="0" w:space="0" w:color="auto"/>
        <w:right w:val="none" w:sz="0" w:space="0" w:color="auto"/>
      </w:divBdr>
    </w:div>
    <w:div w:id="622156245">
      <w:bodyDiv w:val="1"/>
      <w:marLeft w:val="0"/>
      <w:marRight w:val="0"/>
      <w:marTop w:val="0"/>
      <w:marBottom w:val="0"/>
      <w:divBdr>
        <w:top w:val="none" w:sz="0" w:space="0" w:color="auto"/>
        <w:left w:val="none" w:sz="0" w:space="0" w:color="auto"/>
        <w:bottom w:val="none" w:sz="0" w:space="0" w:color="auto"/>
        <w:right w:val="none" w:sz="0" w:space="0" w:color="auto"/>
      </w:divBdr>
    </w:div>
    <w:div w:id="788552548">
      <w:bodyDiv w:val="1"/>
      <w:marLeft w:val="0"/>
      <w:marRight w:val="0"/>
      <w:marTop w:val="0"/>
      <w:marBottom w:val="0"/>
      <w:divBdr>
        <w:top w:val="none" w:sz="0" w:space="0" w:color="auto"/>
        <w:left w:val="none" w:sz="0" w:space="0" w:color="auto"/>
        <w:bottom w:val="none" w:sz="0" w:space="0" w:color="auto"/>
        <w:right w:val="none" w:sz="0" w:space="0" w:color="auto"/>
      </w:divBdr>
    </w:div>
    <w:div w:id="807361028">
      <w:bodyDiv w:val="1"/>
      <w:marLeft w:val="0"/>
      <w:marRight w:val="0"/>
      <w:marTop w:val="0"/>
      <w:marBottom w:val="0"/>
      <w:divBdr>
        <w:top w:val="none" w:sz="0" w:space="0" w:color="auto"/>
        <w:left w:val="none" w:sz="0" w:space="0" w:color="auto"/>
        <w:bottom w:val="none" w:sz="0" w:space="0" w:color="auto"/>
        <w:right w:val="none" w:sz="0" w:space="0" w:color="auto"/>
      </w:divBdr>
    </w:div>
    <w:div w:id="832649663">
      <w:bodyDiv w:val="1"/>
      <w:marLeft w:val="0"/>
      <w:marRight w:val="0"/>
      <w:marTop w:val="0"/>
      <w:marBottom w:val="0"/>
      <w:divBdr>
        <w:top w:val="none" w:sz="0" w:space="0" w:color="auto"/>
        <w:left w:val="none" w:sz="0" w:space="0" w:color="auto"/>
        <w:bottom w:val="none" w:sz="0" w:space="0" w:color="auto"/>
        <w:right w:val="none" w:sz="0" w:space="0" w:color="auto"/>
      </w:divBdr>
    </w:div>
    <w:div w:id="880828986">
      <w:bodyDiv w:val="1"/>
      <w:marLeft w:val="0"/>
      <w:marRight w:val="0"/>
      <w:marTop w:val="0"/>
      <w:marBottom w:val="0"/>
      <w:divBdr>
        <w:top w:val="none" w:sz="0" w:space="0" w:color="auto"/>
        <w:left w:val="none" w:sz="0" w:space="0" w:color="auto"/>
        <w:bottom w:val="none" w:sz="0" w:space="0" w:color="auto"/>
        <w:right w:val="none" w:sz="0" w:space="0" w:color="auto"/>
      </w:divBdr>
    </w:div>
    <w:div w:id="885750495">
      <w:bodyDiv w:val="1"/>
      <w:marLeft w:val="0"/>
      <w:marRight w:val="0"/>
      <w:marTop w:val="0"/>
      <w:marBottom w:val="0"/>
      <w:divBdr>
        <w:top w:val="none" w:sz="0" w:space="0" w:color="auto"/>
        <w:left w:val="none" w:sz="0" w:space="0" w:color="auto"/>
        <w:bottom w:val="none" w:sz="0" w:space="0" w:color="auto"/>
        <w:right w:val="none" w:sz="0" w:space="0" w:color="auto"/>
      </w:divBdr>
      <w:divsChild>
        <w:div w:id="59721122">
          <w:marLeft w:val="-225"/>
          <w:marRight w:val="-225"/>
          <w:marTop w:val="0"/>
          <w:marBottom w:val="0"/>
          <w:divBdr>
            <w:top w:val="none" w:sz="0" w:space="0" w:color="auto"/>
            <w:left w:val="none" w:sz="0" w:space="0" w:color="auto"/>
            <w:bottom w:val="none" w:sz="0" w:space="0" w:color="auto"/>
            <w:right w:val="none" w:sz="0" w:space="0" w:color="auto"/>
          </w:divBdr>
        </w:div>
      </w:divsChild>
    </w:div>
    <w:div w:id="1344017008">
      <w:bodyDiv w:val="1"/>
      <w:marLeft w:val="0"/>
      <w:marRight w:val="0"/>
      <w:marTop w:val="0"/>
      <w:marBottom w:val="0"/>
      <w:divBdr>
        <w:top w:val="none" w:sz="0" w:space="0" w:color="auto"/>
        <w:left w:val="none" w:sz="0" w:space="0" w:color="auto"/>
        <w:bottom w:val="none" w:sz="0" w:space="0" w:color="auto"/>
        <w:right w:val="none" w:sz="0" w:space="0" w:color="auto"/>
      </w:divBdr>
    </w:div>
    <w:div w:id="1432161855">
      <w:bodyDiv w:val="1"/>
      <w:marLeft w:val="0"/>
      <w:marRight w:val="0"/>
      <w:marTop w:val="0"/>
      <w:marBottom w:val="0"/>
      <w:divBdr>
        <w:top w:val="none" w:sz="0" w:space="0" w:color="auto"/>
        <w:left w:val="none" w:sz="0" w:space="0" w:color="auto"/>
        <w:bottom w:val="none" w:sz="0" w:space="0" w:color="auto"/>
        <w:right w:val="none" w:sz="0" w:space="0" w:color="auto"/>
      </w:divBdr>
    </w:div>
    <w:div w:id="1435705056">
      <w:bodyDiv w:val="1"/>
      <w:marLeft w:val="0"/>
      <w:marRight w:val="0"/>
      <w:marTop w:val="0"/>
      <w:marBottom w:val="0"/>
      <w:divBdr>
        <w:top w:val="none" w:sz="0" w:space="0" w:color="auto"/>
        <w:left w:val="none" w:sz="0" w:space="0" w:color="auto"/>
        <w:bottom w:val="none" w:sz="0" w:space="0" w:color="auto"/>
        <w:right w:val="none" w:sz="0" w:space="0" w:color="auto"/>
      </w:divBdr>
    </w:div>
    <w:div w:id="1438139084">
      <w:bodyDiv w:val="1"/>
      <w:marLeft w:val="0"/>
      <w:marRight w:val="0"/>
      <w:marTop w:val="0"/>
      <w:marBottom w:val="0"/>
      <w:divBdr>
        <w:top w:val="none" w:sz="0" w:space="0" w:color="auto"/>
        <w:left w:val="none" w:sz="0" w:space="0" w:color="auto"/>
        <w:bottom w:val="none" w:sz="0" w:space="0" w:color="auto"/>
        <w:right w:val="none" w:sz="0" w:space="0" w:color="auto"/>
      </w:divBdr>
    </w:div>
    <w:div w:id="1455632325">
      <w:bodyDiv w:val="1"/>
      <w:marLeft w:val="0"/>
      <w:marRight w:val="0"/>
      <w:marTop w:val="0"/>
      <w:marBottom w:val="0"/>
      <w:divBdr>
        <w:top w:val="none" w:sz="0" w:space="0" w:color="auto"/>
        <w:left w:val="none" w:sz="0" w:space="0" w:color="auto"/>
        <w:bottom w:val="none" w:sz="0" w:space="0" w:color="auto"/>
        <w:right w:val="none" w:sz="0" w:space="0" w:color="auto"/>
      </w:divBdr>
    </w:div>
    <w:div w:id="1493984639">
      <w:bodyDiv w:val="1"/>
      <w:marLeft w:val="0"/>
      <w:marRight w:val="0"/>
      <w:marTop w:val="0"/>
      <w:marBottom w:val="0"/>
      <w:divBdr>
        <w:top w:val="none" w:sz="0" w:space="0" w:color="auto"/>
        <w:left w:val="none" w:sz="0" w:space="0" w:color="auto"/>
        <w:bottom w:val="none" w:sz="0" w:space="0" w:color="auto"/>
        <w:right w:val="none" w:sz="0" w:space="0" w:color="auto"/>
      </w:divBdr>
    </w:div>
    <w:div w:id="1536889452">
      <w:bodyDiv w:val="1"/>
      <w:marLeft w:val="0"/>
      <w:marRight w:val="0"/>
      <w:marTop w:val="0"/>
      <w:marBottom w:val="0"/>
      <w:divBdr>
        <w:top w:val="none" w:sz="0" w:space="0" w:color="auto"/>
        <w:left w:val="none" w:sz="0" w:space="0" w:color="auto"/>
        <w:bottom w:val="none" w:sz="0" w:space="0" w:color="auto"/>
        <w:right w:val="none" w:sz="0" w:space="0" w:color="auto"/>
      </w:divBdr>
    </w:div>
    <w:div w:id="1558974481">
      <w:bodyDiv w:val="1"/>
      <w:marLeft w:val="0"/>
      <w:marRight w:val="0"/>
      <w:marTop w:val="0"/>
      <w:marBottom w:val="0"/>
      <w:divBdr>
        <w:top w:val="none" w:sz="0" w:space="0" w:color="auto"/>
        <w:left w:val="none" w:sz="0" w:space="0" w:color="auto"/>
        <w:bottom w:val="none" w:sz="0" w:space="0" w:color="auto"/>
        <w:right w:val="none" w:sz="0" w:space="0" w:color="auto"/>
      </w:divBdr>
    </w:div>
    <w:div w:id="1681733142">
      <w:bodyDiv w:val="1"/>
      <w:marLeft w:val="0"/>
      <w:marRight w:val="0"/>
      <w:marTop w:val="0"/>
      <w:marBottom w:val="0"/>
      <w:divBdr>
        <w:top w:val="none" w:sz="0" w:space="0" w:color="auto"/>
        <w:left w:val="none" w:sz="0" w:space="0" w:color="auto"/>
        <w:bottom w:val="none" w:sz="0" w:space="0" w:color="auto"/>
        <w:right w:val="none" w:sz="0" w:space="0" w:color="auto"/>
      </w:divBdr>
    </w:div>
    <w:div w:id="1752042435">
      <w:bodyDiv w:val="1"/>
      <w:marLeft w:val="0"/>
      <w:marRight w:val="0"/>
      <w:marTop w:val="0"/>
      <w:marBottom w:val="0"/>
      <w:divBdr>
        <w:top w:val="none" w:sz="0" w:space="0" w:color="auto"/>
        <w:left w:val="none" w:sz="0" w:space="0" w:color="auto"/>
        <w:bottom w:val="none" w:sz="0" w:space="0" w:color="auto"/>
        <w:right w:val="none" w:sz="0" w:space="0" w:color="auto"/>
      </w:divBdr>
    </w:div>
    <w:div w:id="1927033482">
      <w:bodyDiv w:val="1"/>
      <w:marLeft w:val="0"/>
      <w:marRight w:val="0"/>
      <w:marTop w:val="0"/>
      <w:marBottom w:val="0"/>
      <w:divBdr>
        <w:top w:val="none" w:sz="0" w:space="0" w:color="auto"/>
        <w:left w:val="none" w:sz="0" w:space="0" w:color="auto"/>
        <w:bottom w:val="none" w:sz="0" w:space="0" w:color="auto"/>
        <w:right w:val="none" w:sz="0" w:space="0" w:color="auto"/>
      </w:divBdr>
    </w:div>
    <w:div w:id="2021227672">
      <w:bodyDiv w:val="1"/>
      <w:marLeft w:val="0"/>
      <w:marRight w:val="0"/>
      <w:marTop w:val="0"/>
      <w:marBottom w:val="0"/>
      <w:divBdr>
        <w:top w:val="none" w:sz="0" w:space="0" w:color="auto"/>
        <w:left w:val="none" w:sz="0" w:space="0" w:color="auto"/>
        <w:bottom w:val="none" w:sz="0" w:space="0" w:color="auto"/>
        <w:right w:val="none" w:sz="0" w:space="0" w:color="auto"/>
      </w:divBdr>
    </w:div>
    <w:div w:id="2063287476">
      <w:bodyDiv w:val="1"/>
      <w:marLeft w:val="0"/>
      <w:marRight w:val="0"/>
      <w:marTop w:val="0"/>
      <w:marBottom w:val="0"/>
      <w:divBdr>
        <w:top w:val="none" w:sz="0" w:space="0" w:color="auto"/>
        <w:left w:val="none" w:sz="0" w:space="0" w:color="auto"/>
        <w:bottom w:val="none" w:sz="0" w:space="0" w:color="auto"/>
        <w:right w:val="none" w:sz="0" w:space="0" w:color="auto"/>
      </w:divBdr>
    </w:div>
    <w:div w:id="211151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338</Words>
  <Characters>1865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PC.ensv</cp:lastModifiedBy>
  <cp:revision>15</cp:revision>
  <dcterms:created xsi:type="dcterms:W3CDTF">2024-04-16T09:02:00Z</dcterms:created>
  <dcterms:modified xsi:type="dcterms:W3CDTF">2024-04-17T09:16:00Z</dcterms:modified>
</cp:coreProperties>
</file>