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26" w:rsidRDefault="00103081" w:rsidP="00D26526">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p>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D26526" w:rsidRPr="00D26526" w:rsidTr="00D26526">
        <w:tc>
          <w:tcPr>
            <w:tcW w:w="0" w:type="auto"/>
            <w:tcBorders>
              <w:top w:val="single" w:sz="6" w:space="0" w:color="DDDDDD"/>
            </w:tcBorders>
            <w:shd w:val="clear" w:color="auto" w:fill="FFFFFF"/>
            <w:tcMar>
              <w:top w:w="120" w:type="dxa"/>
              <w:left w:w="120" w:type="dxa"/>
              <w:bottom w:w="120" w:type="dxa"/>
              <w:right w:w="120" w:type="dxa"/>
            </w:tcMar>
            <w:hideMark/>
          </w:tcPr>
          <w:p w:rsidR="00D26526" w:rsidRPr="00D26526" w:rsidRDefault="00D26526" w:rsidP="00D26526">
            <w:pPr>
              <w:pStyle w:val="Titre1"/>
            </w:pPr>
            <w:r w:rsidRPr="00D26526">
              <w:t>Effet du pedicoccus acidilactici sur le bilan lipidique sanguin du poulet de chair</w:t>
            </w:r>
          </w:p>
        </w:tc>
      </w:tr>
      <w:tr w:rsidR="00D26526" w:rsidRPr="00D26526" w:rsidTr="00D26526">
        <w:tc>
          <w:tcPr>
            <w:tcW w:w="0" w:type="auto"/>
            <w:shd w:val="clear" w:color="auto" w:fill="FFFFFF"/>
            <w:vAlign w:val="center"/>
            <w:hideMark/>
          </w:tcPr>
          <w:p w:rsidR="00D26526" w:rsidRPr="00D26526" w:rsidRDefault="00D26526" w:rsidP="00D26526">
            <w:pPr>
              <w:pStyle w:val="Titre1"/>
            </w:pPr>
          </w:p>
        </w:tc>
      </w:tr>
    </w:tbl>
    <w:p w:rsidR="00D2595F" w:rsidRDefault="00D2595F" w:rsidP="00D26526">
      <w:pPr>
        <w:pStyle w:val="Titre1"/>
        <w:spacing w:before="0"/>
      </w:pPr>
    </w:p>
    <w:p w:rsidR="00446E05" w:rsidRPr="00446E05" w:rsidRDefault="00446E05" w:rsidP="00446E05"/>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36091B" w:rsidRPr="0036091B" w:rsidTr="0036091B">
        <w:tc>
          <w:tcPr>
            <w:tcW w:w="0" w:type="auto"/>
            <w:tcBorders>
              <w:top w:val="single" w:sz="6" w:space="0" w:color="DDDDDD"/>
            </w:tcBorders>
            <w:shd w:val="clear" w:color="auto" w:fill="FFFFFF"/>
            <w:tcMar>
              <w:top w:w="120" w:type="dxa"/>
              <w:left w:w="120" w:type="dxa"/>
              <w:bottom w:w="120" w:type="dxa"/>
              <w:right w:w="120" w:type="dxa"/>
            </w:tcMar>
            <w:hideMark/>
          </w:tcPr>
          <w:p w:rsidR="0036091B" w:rsidRPr="0036091B" w:rsidRDefault="0036091B" w:rsidP="0036091B">
            <w:pPr>
              <w:spacing w:line="360" w:lineRule="auto"/>
              <w:jc w:val="both"/>
              <w:rPr>
                <w:color w:val="222222"/>
                <w:sz w:val="34"/>
                <w:szCs w:val="34"/>
                <w:shd w:val="clear" w:color="auto" w:fill="FFFFFF"/>
              </w:rPr>
            </w:pPr>
            <w:r w:rsidRPr="0036091B">
              <w:rPr>
                <w:color w:val="222222"/>
                <w:sz w:val="34"/>
                <w:szCs w:val="34"/>
                <w:shd w:val="clear" w:color="auto" w:fill="FFFFFF"/>
              </w:rPr>
              <w:t xml:space="preserve">Pour évaluer l’effet du probiotique Pediococcus acidilactici, nous avons utilisé mille sept cent soixante-trois poussins d’un jour de l’espèce Gallus domesticus, appartenant à la souche Hubbard F15, de sexes mélangés et d’un poids homogène, provenant d’un même couvoir, mis en place dans le même bâtiment pour être élevés dans les mêmes conditions d’élevage durant une période de 52 jours. Ces animaux ont été répartis en deux lots. Les animaux du lot “expérimental” recevaient une eau de boisson exempte de tout additif et un aliment additionné de lyophilisat de Pediococcus acidilactici (CNCM MA18/5M ; Bactocell®, France) à raison de 100 ppm (concentration de 109 UFC.g-1) jusqu’au 42ème jour d’élevage. Ceux du lot “témoin” recevaient le même aliment, sans probiotiques, mais additionné d’un anticoccidien chimique (Cycostat) à raison de 0,5 kg par tonne d’aliment ainsi qu’une eau additionnée d’antibiotiques durant toute la période d’élevage. Les résultats relatifs aux performances zootechniques ont montré que l’addition du probiotique a amélioré significativement le gain de poids pendant la phase de croissance se traduisant par un indice de consommation meilleur. Les dosages du cholestérol total, des triglycérides, </w:t>
            </w:r>
            <w:r w:rsidRPr="0036091B">
              <w:rPr>
                <w:color w:val="222222"/>
                <w:sz w:val="34"/>
                <w:szCs w:val="34"/>
                <w:shd w:val="clear" w:color="auto" w:fill="FFFFFF"/>
              </w:rPr>
              <w:lastRenderedPageBreak/>
              <w:t>du HDL et du LDL ont été déterminés à la fin de chaque phase d’élevage (28ème, 42ème et 52ème jours). Les moyennes des 4 paramètres (cholestérol total, triglycérides, HDL et LDL) étaient comparables à 28 jours pour les lots témoin et « Probiotiques ». Ces moyennes sont restées comparables à 42 jours, à l’exce</w:t>
            </w:r>
            <w:bookmarkStart w:id="0" w:name="_GoBack"/>
            <w:bookmarkEnd w:id="0"/>
            <w:r w:rsidRPr="0036091B">
              <w:rPr>
                <w:color w:val="222222"/>
                <w:sz w:val="34"/>
                <w:szCs w:val="34"/>
                <w:shd w:val="clear" w:color="auto" w:fill="FFFFFF"/>
              </w:rPr>
              <w:t>ption du cholestérol total significativement plus bas dans le lot « Probiotiques » (1.10±0.07 vs 1.52±0.12 g.L-1 ; p=0.03). Les moyenne des 4 paramètres étaient comparables à 52 jours entre les lots « témoin » et « Probiotiques ». Les probiotiques ont prouvé leur efficacité dans la diminution significative du cholestérol total au 42ème jour.</w:t>
            </w:r>
          </w:p>
        </w:tc>
      </w:tr>
      <w:tr w:rsidR="0036091B" w:rsidRPr="0036091B" w:rsidTr="0036091B">
        <w:tc>
          <w:tcPr>
            <w:tcW w:w="0" w:type="auto"/>
            <w:shd w:val="clear" w:color="auto" w:fill="FFFFFF"/>
            <w:vAlign w:val="center"/>
            <w:hideMark/>
          </w:tcPr>
          <w:p w:rsidR="0036091B" w:rsidRPr="0036091B" w:rsidRDefault="0036091B" w:rsidP="0036091B">
            <w:pPr>
              <w:spacing w:line="360" w:lineRule="auto"/>
              <w:jc w:val="both"/>
              <w:rPr>
                <w:color w:val="222222"/>
                <w:sz w:val="34"/>
                <w:szCs w:val="34"/>
                <w:shd w:val="clear" w:color="auto" w:fill="FFFFFF"/>
              </w:rPr>
            </w:pPr>
          </w:p>
        </w:tc>
      </w:tr>
    </w:tbl>
    <w:p w:rsidR="00D6193A" w:rsidRPr="0006096E" w:rsidRDefault="00D6193A" w:rsidP="0036091B">
      <w:pPr>
        <w:spacing w:line="360" w:lineRule="auto"/>
        <w:jc w:val="both"/>
        <w:rPr>
          <w:rFonts w:asciiTheme="majorBidi" w:hAnsiTheme="majorBidi" w:cstheme="majorBidi"/>
          <w:sz w:val="28"/>
          <w:szCs w:val="28"/>
        </w:rPr>
      </w:pP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3C59"/>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16B6C"/>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5778"/>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1699"/>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091B"/>
    <w:rsid w:val="00362FD9"/>
    <w:rsid w:val="0037112E"/>
    <w:rsid w:val="00375F3F"/>
    <w:rsid w:val="00381355"/>
    <w:rsid w:val="00382C1F"/>
    <w:rsid w:val="00384E8D"/>
    <w:rsid w:val="00392867"/>
    <w:rsid w:val="00397DD3"/>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46E05"/>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2B94"/>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0C1C"/>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3C96"/>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87505"/>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5608"/>
    <w:rsid w:val="00AF6FF2"/>
    <w:rsid w:val="00B024A3"/>
    <w:rsid w:val="00B038A2"/>
    <w:rsid w:val="00B15EB0"/>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18BC"/>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2595F"/>
    <w:rsid w:val="00D26526"/>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2827"/>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267B"/>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24DF"/>
    <w:rsid w:val="00FE3FA6"/>
    <w:rsid w:val="00FE5272"/>
    <w:rsid w:val="00FF04B0"/>
    <w:rsid w:val="00FF1AD3"/>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071078917">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2582330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747529687">
      <w:bodyDiv w:val="1"/>
      <w:marLeft w:val="0"/>
      <w:marRight w:val="0"/>
      <w:marTop w:val="0"/>
      <w:marBottom w:val="0"/>
      <w:divBdr>
        <w:top w:val="none" w:sz="0" w:space="0" w:color="auto"/>
        <w:left w:val="none" w:sz="0" w:space="0" w:color="auto"/>
        <w:bottom w:val="none" w:sz="0" w:space="0" w:color="auto"/>
        <w:right w:val="none" w:sz="0" w:space="0" w:color="auto"/>
      </w:divBdr>
    </w:div>
    <w:div w:id="1894802737">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1957366210">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9342</TotalTime>
  <Pages>2</Pages>
  <Words>308</Words>
  <Characters>1696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821</cp:revision>
  <dcterms:created xsi:type="dcterms:W3CDTF">2019-12-10T12:38:00Z</dcterms:created>
  <dcterms:modified xsi:type="dcterms:W3CDTF">2025-02-02T13:16:00Z</dcterms:modified>
</cp:coreProperties>
</file>