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07" w:rsidRDefault="00D04607" w:rsidP="00D0460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D04607">
        <w:rPr>
          <w:rFonts w:asciiTheme="majorBidi" w:hAnsiTheme="majorBidi" w:cstheme="majorBidi"/>
          <w:b/>
          <w:bCs/>
          <w:color w:val="000000"/>
          <w:sz w:val="28"/>
          <w:szCs w:val="28"/>
          <w:shd w:val="clear" w:color="auto" w:fill="FFFFFF"/>
        </w:rPr>
        <w:t>Benbelkacem</w:t>
      </w:r>
      <w:proofErr w:type="spellEnd"/>
      <w:r w:rsidRPr="00D04607">
        <w:rPr>
          <w:rFonts w:asciiTheme="majorBidi" w:hAnsiTheme="majorBidi" w:cstheme="majorBidi"/>
          <w:b/>
          <w:bCs/>
          <w:color w:val="000000"/>
          <w:sz w:val="28"/>
          <w:szCs w:val="28"/>
          <w:shd w:val="clear" w:color="auto" w:fill="FFFFFF"/>
        </w:rPr>
        <w:t xml:space="preserve"> </w:t>
      </w:r>
      <w:proofErr w:type="spellStart"/>
      <w:r w:rsidRPr="00D04607">
        <w:rPr>
          <w:rFonts w:asciiTheme="majorBidi" w:hAnsiTheme="majorBidi" w:cstheme="majorBidi"/>
          <w:b/>
          <w:bCs/>
          <w:color w:val="000000"/>
          <w:sz w:val="28"/>
          <w:szCs w:val="28"/>
          <w:shd w:val="clear" w:color="auto" w:fill="FFFFFF"/>
        </w:rPr>
        <w:t>Idir</w:t>
      </w:r>
      <w:proofErr w:type="spellEnd"/>
    </w:p>
    <w:p w:rsidR="00D04607" w:rsidRDefault="00D04607" w:rsidP="00D04607">
      <w:pPr>
        <w:jc w:val="center"/>
        <w:rPr>
          <w:rFonts w:asciiTheme="majorBidi" w:hAnsiTheme="majorBidi" w:cstheme="majorBidi"/>
          <w:b/>
          <w:bCs/>
          <w:color w:val="000000"/>
          <w:sz w:val="28"/>
          <w:szCs w:val="28"/>
          <w:shd w:val="clear" w:color="auto" w:fill="FFFFFF"/>
        </w:rPr>
      </w:pPr>
      <w:r w:rsidRPr="00D04607">
        <w:rPr>
          <w:rFonts w:asciiTheme="majorBidi" w:hAnsiTheme="majorBidi" w:cstheme="majorBidi"/>
          <w:b/>
          <w:bCs/>
          <w:color w:val="000000"/>
          <w:sz w:val="28"/>
          <w:szCs w:val="28"/>
          <w:shd w:val="clear" w:color="auto" w:fill="FFFFFF"/>
        </w:rPr>
        <w:t xml:space="preserve">Contribution à l'étude des mammites fongiques des bovins dans deux élevages de la région de Tiaret </w:t>
      </w:r>
    </w:p>
    <w:p w:rsidR="00D04607" w:rsidRDefault="00D04607" w:rsidP="00D0460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D04607" w:rsidRPr="00301F59" w:rsidRDefault="00D04607" w:rsidP="00D04607"/>
    <w:p w:rsidR="00D04607" w:rsidRDefault="00D04607">
      <w:pPr>
        <w:rPr>
          <w:rFonts w:asciiTheme="majorBidi" w:hAnsiTheme="majorBidi" w:cstheme="majorBidi"/>
          <w:sz w:val="24"/>
          <w:szCs w:val="24"/>
        </w:rPr>
      </w:pPr>
      <w:r w:rsidRPr="00D04607">
        <w:rPr>
          <w:rFonts w:asciiTheme="majorBidi" w:hAnsiTheme="majorBidi" w:cstheme="majorBidi"/>
          <w:b/>
          <w:bCs/>
          <w:sz w:val="24"/>
          <w:szCs w:val="24"/>
        </w:rPr>
        <w:t>Résumé</w:t>
      </w:r>
      <w:r w:rsidRPr="00D04607">
        <w:rPr>
          <w:rFonts w:asciiTheme="majorBidi" w:hAnsiTheme="majorBidi" w:cstheme="majorBidi"/>
          <w:sz w:val="24"/>
          <w:szCs w:val="24"/>
        </w:rPr>
        <w:t> :</w:t>
      </w:r>
    </w:p>
    <w:p w:rsidR="00881A46" w:rsidRPr="00D04607" w:rsidRDefault="00D04607" w:rsidP="00D04607">
      <w:pPr>
        <w:rPr>
          <w:rFonts w:asciiTheme="majorBidi" w:hAnsiTheme="majorBidi" w:cstheme="majorBidi"/>
          <w:sz w:val="24"/>
          <w:szCs w:val="24"/>
          <w:lang w:val="en-US"/>
        </w:rPr>
      </w:pPr>
      <w:r w:rsidRPr="00D04607">
        <w:rPr>
          <w:rFonts w:asciiTheme="majorBidi" w:hAnsiTheme="majorBidi" w:cstheme="majorBidi"/>
          <w:sz w:val="24"/>
          <w:szCs w:val="24"/>
        </w:rPr>
        <w:t xml:space="preserve"> L’infection mycosique de la glande mammaire n’a pas reçu une grande attention de la part des vétérinaires algériens. Le but de notre projet réalisé au niveau de deux (2) exploitations situées dans la région de Tiaret. </w:t>
      </w:r>
      <w:proofErr w:type="gramStart"/>
      <w:r w:rsidRPr="00D04607">
        <w:rPr>
          <w:rFonts w:asciiTheme="majorBidi" w:hAnsiTheme="majorBidi" w:cstheme="majorBidi"/>
          <w:sz w:val="24"/>
          <w:szCs w:val="24"/>
        </w:rPr>
        <w:t>est</w:t>
      </w:r>
      <w:proofErr w:type="gramEnd"/>
      <w:r w:rsidRPr="00D04607">
        <w:rPr>
          <w:rFonts w:asciiTheme="majorBidi" w:hAnsiTheme="majorBidi" w:cstheme="majorBidi"/>
          <w:sz w:val="24"/>
          <w:szCs w:val="24"/>
        </w:rPr>
        <w:t xml:space="preserve"> d’évaluer l’effet de l’amélioration des conditions d’hygiène sur la prévalence de ce type de mammite. Au total (17) vaches laitières ont été examinées. Toutes les vaches ne présentaient aucun signe clinique indiquant une atteinte aigue de la glande mammaire. Tous les échantillons de lait analysés (n=268) provenaient de vaches cliniquement saines. Avant l’amélioration des conditions d’hygiène, la prévalence de la mammite fongique était de 30.59%, avec une prédominance du genre </w:t>
      </w:r>
      <w:proofErr w:type="spellStart"/>
      <w:r w:rsidRPr="00D04607">
        <w:rPr>
          <w:rFonts w:asciiTheme="majorBidi" w:hAnsiTheme="majorBidi" w:cstheme="majorBidi"/>
          <w:sz w:val="24"/>
          <w:szCs w:val="24"/>
        </w:rPr>
        <w:t>Rhodotorula</w:t>
      </w:r>
      <w:proofErr w:type="spellEnd"/>
      <w:r w:rsidRPr="00D04607">
        <w:rPr>
          <w:rFonts w:asciiTheme="majorBidi" w:hAnsiTheme="majorBidi" w:cstheme="majorBidi"/>
          <w:sz w:val="24"/>
          <w:szCs w:val="24"/>
        </w:rPr>
        <w:t xml:space="preserve"> </w:t>
      </w:r>
      <w:proofErr w:type="spellStart"/>
      <w:proofErr w:type="gramStart"/>
      <w:r w:rsidRPr="00D04607">
        <w:rPr>
          <w:rFonts w:asciiTheme="majorBidi" w:hAnsiTheme="majorBidi" w:cstheme="majorBidi"/>
          <w:sz w:val="24"/>
          <w:szCs w:val="24"/>
        </w:rPr>
        <w:t>sp</w:t>
      </w:r>
      <w:proofErr w:type="spellEnd"/>
      <w:r w:rsidRPr="00D04607">
        <w:rPr>
          <w:rFonts w:asciiTheme="majorBidi" w:hAnsiTheme="majorBidi" w:cstheme="majorBidi"/>
          <w:sz w:val="24"/>
          <w:szCs w:val="24"/>
        </w:rPr>
        <w:t>.,</w:t>
      </w:r>
      <w:proofErr w:type="gramEnd"/>
      <w:r w:rsidRPr="00D04607">
        <w:rPr>
          <w:rFonts w:asciiTheme="majorBidi" w:hAnsiTheme="majorBidi" w:cstheme="majorBidi"/>
          <w:sz w:val="24"/>
          <w:szCs w:val="24"/>
        </w:rPr>
        <w:t xml:space="preserve"> (29.41%). Suite à l’amélioration des conditions d’hygiène, l’incidence des quartiers infectés a atteint 11.93%, avec une prédominance du genre Aspergillus </w:t>
      </w:r>
      <w:proofErr w:type="spellStart"/>
      <w:proofErr w:type="gramStart"/>
      <w:r w:rsidRPr="00D04607">
        <w:rPr>
          <w:rFonts w:asciiTheme="majorBidi" w:hAnsiTheme="majorBidi" w:cstheme="majorBidi"/>
          <w:sz w:val="24"/>
          <w:szCs w:val="24"/>
        </w:rPr>
        <w:t>sp</w:t>
      </w:r>
      <w:proofErr w:type="spellEnd"/>
      <w:r w:rsidRPr="00D04607">
        <w:rPr>
          <w:rFonts w:asciiTheme="majorBidi" w:hAnsiTheme="majorBidi" w:cstheme="majorBidi"/>
          <w:sz w:val="24"/>
          <w:szCs w:val="24"/>
        </w:rPr>
        <w:t>.,</w:t>
      </w:r>
      <w:proofErr w:type="gramEnd"/>
      <w:r w:rsidRPr="00D04607">
        <w:rPr>
          <w:rFonts w:asciiTheme="majorBidi" w:hAnsiTheme="majorBidi" w:cstheme="majorBidi"/>
          <w:sz w:val="24"/>
          <w:szCs w:val="24"/>
        </w:rPr>
        <w:t xml:space="preserve"> (43.75%). Dans un deuxième temps, l’analyse mycologique des prélèvements effectués à partir des secrétions vaginales, de l’alimentation, des gobelets trayeurs, et des mains des trayeurs ( facteurs de risques ) au cours des (2) étapes, c'est-à dire avant et après l’amélioration des conditions d’hygiène nous a permis d’évaluer leur intervention dans l’enrichissement du milieu et la contamination de la mamelle. De plus, nous avons évalué l’influence de l’indice de propreté de l’animal ainsi que l’étude de l’état de l’orifice du trayon et la relation existant entre ces facteurs et l’incidence de la mammite mycosique. </w:t>
      </w:r>
      <w:r w:rsidRPr="00D04607">
        <w:rPr>
          <w:rFonts w:asciiTheme="majorBidi" w:hAnsiTheme="majorBidi" w:cstheme="majorBidi"/>
          <w:sz w:val="24"/>
          <w:szCs w:val="24"/>
        </w:rPr>
        <w:br/>
      </w:r>
      <w:r w:rsidRPr="00D04607">
        <w:rPr>
          <w:rFonts w:asciiTheme="majorBidi" w:hAnsiTheme="majorBidi" w:cstheme="majorBidi"/>
          <w:sz w:val="24"/>
          <w:szCs w:val="24"/>
        </w:rPr>
        <w:br/>
      </w:r>
      <w:r w:rsidRPr="00D04607">
        <w:rPr>
          <w:rFonts w:asciiTheme="majorBidi" w:hAnsiTheme="majorBidi" w:cstheme="majorBidi"/>
          <w:b/>
          <w:bCs/>
          <w:sz w:val="24"/>
          <w:szCs w:val="24"/>
          <w:lang w:val="en-US"/>
        </w:rPr>
        <w:t>Abstract:</w:t>
      </w:r>
      <w:r w:rsidRPr="00D04607">
        <w:rPr>
          <w:rFonts w:asciiTheme="majorBidi" w:hAnsiTheme="majorBidi" w:cstheme="majorBidi"/>
          <w:b/>
          <w:bCs/>
          <w:sz w:val="24"/>
          <w:szCs w:val="24"/>
          <w:lang w:val="en-US"/>
        </w:rPr>
        <w:br/>
      </w:r>
      <w:r w:rsidRPr="00D04607">
        <w:rPr>
          <w:rFonts w:asciiTheme="majorBidi" w:hAnsiTheme="majorBidi" w:cstheme="majorBidi"/>
          <w:sz w:val="24"/>
          <w:szCs w:val="24"/>
          <w:lang w:val="en-US"/>
        </w:rPr>
        <w:t xml:space="preserve">Mammary </w:t>
      </w:r>
      <w:proofErr w:type="spellStart"/>
      <w:r w:rsidRPr="00D04607">
        <w:rPr>
          <w:rFonts w:asciiTheme="majorBidi" w:hAnsiTheme="majorBidi" w:cstheme="majorBidi"/>
          <w:sz w:val="24"/>
          <w:szCs w:val="24"/>
          <w:lang w:val="en-US"/>
        </w:rPr>
        <w:t>mycotic</w:t>
      </w:r>
      <w:proofErr w:type="spellEnd"/>
      <w:r w:rsidRPr="00D04607">
        <w:rPr>
          <w:rFonts w:asciiTheme="majorBidi" w:hAnsiTheme="majorBidi" w:cstheme="majorBidi"/>
          <w:sz w:val="24"/>
          <w:szCs w:val="24"/>
          <w:lang w:val="en-US"/>
        </w:rPr>
        <w:t xml:space="preserve"> infection has not been received much more attention by the Algerian veterinarians. The aim of our study, carried out in (02) dairy farms located in </w:t>
      </w:r>
      <w:proofErr w:type="spellStart"/>
      <w:r w:rsidRPr="00D04607">
        <w:rPr>
          <w:rFonts w:asciiTheme="majorBidi" w:hAnsiTheme="majorBidi" w:cstheme="majorBidi"/>
          <w:sz w:val="24"/>
          <w:szCs w:val="24"/>
          <w:lang w:val="en-US"/>
        </w:rPr>
        <w:t>Tiaret</w:t>
      </w:r>
      <w:proofErr w:type="spellEnd"/>
      <w:r w:rsidRPr="00D04607">
        <w:rPr>
          <w:rFonts w:asciiTheme="majorBidi" w:hAnsiTheme="majorBidi" w:cstheme="majorBidi"/>
          <w:sz w:val="24"/>
          <w:szCs w:val="24"/>
          <w:lang w:val="en-US"/>
        </w:rPr>
        <w:t xml:space="preserve"> district, was to evaluate the effect of the hygiene conditions improvement on the incidence of the fungal mastitis. Totally, 17 dairy cows have been investigated, no one presented the signs of the acute mastitis during our study, all the samples (n=268) were issued from cows clinically healthy. Before hygiene conditions improvement, fungal mastitis incidence was 30.59%, with the predominance of </w:t>
      </w:r>
      <w:proofErr w:type="spellStart"/>
      <w:r w:rsidRPr="00D04607">
        <w:rPr>
          <w:rFonts w:asciiTheme="majorBidi" w:hAnsiTheme="majorBidi" w:cstheme="majorBidi"/>
          <w:sz w:val="24"/>
          <w:szCs w:val="24"/>
          <w:lang w:val="en-US"/>
        </w:rPr>
        <w:t>Rhodotorula</w:t>
      </w:r>
      <w:proofErr w:type="spellEnd"/>
      <w:r w:rsidRPr="00D04607">
        <w:rPr>
          <w:rFonts w:asciiTheme="majorBidi" w:hAnsiTheme="majorBidi" w:cstheme="majorBidi"/>
          <w:sz w:val="24"/>
          <w:szCs w:val="24"/>
          <w:lang w:val="en-US"/>
        </w:rPr>
        <w:t xml:space="preserve"> sp. genus, (29.41%). After the improvement of the hygiene conditions, the incidence of the infected quarters decreased to 11.93%, with the predominance of </w:t>
      </w:r>
      <w:proofErr w:type="spellStart"/>
      <w:r w:rsidRPr="00D04607">
        <w:rPr>
          <w:rFonts w:asciiTheme="majorBidi" w:hAnsiTheme="majorBidi" w:cstheme="majorBidi"/>
          <w:sz w:val="24"/>
          <w:szCs w:val="24"/>
          <w:lang w:val="en-US"/>
        </w:rPr>
        <w:t>Aspergillus</w:t>
      </w:r>
      <w:proofErr w:type="spellEnd"/>
      <w:r w:rsidRPr="00D04607">
        <w:rPr>
          <w:rFonts w:asciiTheme="majorBidi" w:hAnsiTheme="majorBidi" w:cstheme="majorBidi"/>
          <w:sz w:val="24"/>
          <w:szCs w:val="24"/>
          <w:lang w:val="en-US"/>
        </w:rPr>
        <w:t xml:space="preserve"> sp. genus (43.75%). Secondary, the mycological analysis of the samples carried out from the vagina, the food, the clusters and the </w:t>
      </w:r>
      <w:proofErr w:type="spellStart"/>
      <w:r w:rsidRPr="00D04607">
        <w:rPr>
          <w:rFonts w:asciiTheme="majorBidi" w:hAnsiTheme="majorBidi" w:cstheme="majorBidi"/>
          <w:sz w:val="24"/>
          <w:szCs w:val="24"/>
          <w:lang w:val="en-US"/>
        </w:rPr>
        <w:t>milkers’</w:t>
      </w:r>
      <w:proofErr w:type="spellEnd"/>
      <w:r w:rsidRPr="00D04607">
        <w:rPr>
          <w:rFonts w:asciiTheme="majorBidi" w:hAnsiTheme="majorBidi" w:cstheme="majorBidi"/>
          <w:sz w:val="24"/>
          <w:szCs w:val="24"/>
          <w:lang w:val="en-US"/>
        </w:rPr>
        <w:t xml:space="preserve"> hands (risk factors), permits to evaluate their influence in the enrichment of the animals’ environment and the contamination of the udder. </w:t>
      </w:r>
      <w:proofErr w:type="spellStart"/>
      <w:r w:rsidRPr="00D04607">
        <w:rPr>
          <w:rFonts w:asciiTheme="majorBidi" w:hAnsiTheme="majorBidi" w:cstheme="majorBidi"/>
          <w:sz w:val="24"/>
          <w:szCs w:val="24"/>
          <w:lang w:val="en-US"/>
        </w:rPr>
        <w:t>Further more</w:t>
      </w:r>
      <w:proofErr w:type="spellEnd"/>
      <w:r w:rsidRPr="00D04607">
        <w:rPr>
          <w:rFonts w:asciiTheme="majorBidi" w:hAnsiTheme="majorBidi" w:cstheme="majorBidi"/>
          <w:sz w:val="24"/>
          <w:szCs w:val="24"/>
          <w:lang w:val="en-US"/>
        </w:rPr>
        <w:t>, it seems to be useful to evaluate the effect of the animal hygiene index and the teat end score and to study the relationship between these both factors and the fungal mastitis incidence.</w:t>
      </w:r>
    </w:p>
    <w:sectPr w:rsidR="00881A46" w:rsidRPr="00D04607" w:rsidSect="00881A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04607"/>
    <w:rsid w:val="00881A46"/>
    <w:rsid w:val="00D046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2497</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2019-10-20T08:53:00Z</dcterms:created>
  <dcterms:modified xsi:type="dcterms:W3CDTF">2019-10-20T08:55:00Z</dcterms:modified>
</cp:coreProperties>
</file>