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B7" w:rsidRDefault="001B3597" w:rsidP="00BA67A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A67A3" w:rsidRPr="00BA67A3">
        <w:rPr>
          <w:rFonts w:asciiTheme="majorBidi" w:hAnsiTheme="majorBidi" w:cstheme="majorBidi"/>
          <w:b/>
          <w:bCs/>
          <w:sz w:val="28"/>
          <w:szCs w:val="28"/>
        </w:rPr>
        <w:t xml:space="preserve">La </w:t>
      </w:r>
      <w:proofErr w:type="spellStart"/>
      <w:r w:rsidR="00BA67A3" w:rsidRPr="00BA67A3">
        <w:rPr>
          <w:rFonts w:asciiTheme="majorBidi" w:hAnsiTheme="majorBidi" w:cstheme="majorBidi"/>
          <w:b/>
          <w:bCs/>
          <w:sz w:val="28"/>
          <w:szCs w:val="28"/>
        </w:rPr>
        <w:t>dermatophytose</w:t>
      </w:r>
      <w:proofErr w:type="spellEnd"/>
      <w:r w:rsidR="00BA67A3" w:rsidRPr="00BA67A3">
        <w:rPr>
          <w:rFonts w:asciiTheme="majorBidi" w:hAnsiTheme="majorBidi" w:cstheme="majorBidi"/>
          <w:b/>
          <w:bCs/>
          <w:sz w:val="28"/>
          <w:szCs w:val="28"/>
        </w:rPr>
        <w:t xml:space="preserve"> féline : étude rétrospective et prospective</w:t>
      </w:r>
    </w:p>
    <w:p w:rsidR="003461E7" w:rsidRDefault="003461E7" w:rsidP="003461E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7C6A43" w:rsidRPr="007C6A43" w:rsidRDefault="007C6A43" w:rsidP="007C6A43">
      <w:pPr>
        <w:jc w:val="both"/>
        <w:rPr>
          <w:rFonts w:asciiTheme="majorBidi" w:hAnsiTheme="majorBidi" w:cstheme="majorBidi"/>
          <w:sz w:val="24"/>
          <w:szCs w:val="24"/>
        </w:rPr>
      </w:pPr>
      <w:r w:rsidRPr="007C6A43">
        <w:rPr>
          <w:rFonts w:asciiTheme="majorBidi" w:hAnsiTheme="majorBidi" w:cstheme="majorBidi"/>
          <w:sz w:val="24"/>
          <w:szCs w:val="24"/>
        </w:rPr>
        <w:t xml:space="preserve">Les </w:t>
      </w:r>
      <w:proofErr w:type="spellStart"/>
      <w:r w:rsidRPr="007C6A43">
        <w:rPr>
          <w:rFonts w:asciiTheme="majorBidi" w:hAnsiTheme="majorBidi" w:cstheme="majorBidi"/>
          <w:sz w:val="24"/>
          <w:szCs w:val="24"/>
        </w:rPr>
        <w:t>dermatomycozoonoses</w:t>
      </w:r>
      <w:proofErr w:type="spellEnd"/>
      <w:r w:rsidRPr="007C6A43">
        <w:rPr>
          <w:rFonts w:asciiTheme="majorBidi" w:hAnsiTheme="majorBidi" w:cstheme="majorBidi"/>
          <w:sz w:val="24"/>
          <w:szCs w:val="24"/>
        </w:rPr>
        <w:t xml:space="preserve"> représentent un sujet d’actualité. L'étude bibliographique à montré que les teignes, occupent sans conteste le premier rang, à la fois par leur fréquence, leur forte contagiosité, leur répartition, et par leurs rôles zoonotiques. Après avoir effectué une enquête rétrospective sur la teigne au sein de l’ENSV, la prévalence retrouvée par rapport aux nombre de cas recensé était plutôt faible. Les résultats de l'enquête prospective quant à eux, ne sont pas vraiment concluants pour dire que le taux de teigne chez le chat est en baisse puisque seulement 5 cas </w:t>
      </w:r>
      <w:proofErr w:type="spellStart"/>
      <w:r w:rsidRPr="007C6A43">
        <w:rPr>
          <w:rFonts w:asciiTheme="majorBidi" w:hAnsiTheme="majorBidi" w:cstheme="majorBidi"/>
          <w:sz w:val="24"/>
          <w:szCs w:val="24"/>
        </w:rPr>
        <w:t>parmis</w:t>
      </w:r>
      <w:proofErr w:type="spellEnd"/>
      <w:r w:rsidRPr="007C6A43">
        <w:rPr>
          <w:rFonts w:asciiTheme="majorBidi" w:hAnsiTheme="majorBidi" w:cstheme="majorBidi"/>
          <w:sz w:val="24"/>
          <w:szCs w:val="24"/>
        </w:rPr>
        <w:t xml:space="preserve"> 225 étaient cliniquement positifs sans confirmation expérimentale. Dans notre étude prospective, l’utilisation de la lumière de Wood a apporté un plus par rapport a l’étude rétrospective. Par rapport aux résultats négatifs obtenus dans la recherche rétrospective, les résultats positifs observés dans notre étude prospective pourrait se rapporté à l’utilisation de la lumière de Wood lors de l’examen direct en clinique. L’utilisation de la lumière de Wood est d’autant plus importante, car elle permet en plus du diagnostic clinique, la mise en place d’une bonne conduite à tenir face à une teigne, qu’elle soit symptomatique ou asymptomatique.</w:t>
      </w:r>
    </w:p>
    <w:p w:rsidR="007C6A43" w:rsidRPr="007C6A43" w:rsidRDefault="007C6A43" w:rsidP="007C6A43">
      <w:pPr>
        <w:jc w:val="both"/>
        <w:rPr>
          <w:rFonts w:asciiTheme="majorBidi" w:hAnsiTheme="majorBidi" w:cstheme="majorBidi"/>
          <w:sz w:val="24"/>
          <w:szCs w:val="24"/>
        </w:rPr>
      </w:pPr>
    </w:p>
    <w:p w:rsidR="007C6A43" w:rsidRPr="007C6A43" w:rsidRDefault="007C6A43" w:rsidP="007C6A43">
      <w:pPr>
        <w:jc w:val="both"/>
        <w:rPr>
          <w:rFonts w:asciiTheme="majorBidi" w:hAnsiTheme="majorBidi" w:cstheme="majorBidi"/>
          <w:b/>
          <w:bCs/>
          <w:sz w:val="24"/>
          <w:szCs w:val="24"/>
        </w:rPr>
      </w:pPr>
      <w:r w:rsidRPr="007C6A43">
        <w:rPr>
          <w:rFonts w:asciiTheme="majorBidi" w:hAnsiTheme="majorBidi" w:cstheme="majorBidi"/>
          <w:b/>
          <w:bCs/>
          <w:sz w:val="24"/>
          <w:szCs w:val="24"/>
        </w:rPr>
        <w:t>Abstract :</w:t>
      </w:r>
    </w:p>
    <w:p w:rsidR="00014BDB" w:rsidRPr="007C6A43" w:rsidRDefault="007C6A43" w:rsidP="007C6A43">
      <w:pPr>
        <w:jc w:val="both"/>
        <w:rPr>
          <w:rFonts w:asciiTheme="majorBidi" w:hAnsiTheme="majorBidi" w:cstheme="majorBidi"/>
          <w:sz w:val="24"/>
          <w:szCs w:val="24"/>
          <w:lang w:val="en-US"/>
        </w:rPr>
      </w:pPr>
      <w:r w:rsidRPr="007C6A43">
        <w:rPr>
          <w:rFonts w:asciiTheme="majorBidi" w:hAnsiTheme="majorBidi" w:cstheme="majorBidi"/>
          <w:sz w:val="24"/>
          <w:szCs w:val="24"/>
          <w:lang w:val="en-US"/>
        </w:rPr>
        <w:t xml:space="preserve">The </w:t>
      </w:r>
      <w:proofErr w:type="spellStart"/>
      <w:r w:rsidRPr="007C6A43">
        <w:rPr>
          <w:rFonts w:asciiTheme="majorBidi" w:hAnsiTheme="majorBidi" w:cstheme="majorBidi"/>
          <w:sz w:val="24"/>
          <w:szCs w:val="24"/>
          <w:lang w:val="en-US"/>
        </w:rPr>
        <w:t>dermatomycozoonosis</w:t>
      </w:r>
      <w:proofErr w:type="spellEnd"/>
      <w:r w:rsidRPr="007C6A43">
        <w:rPr>
          <w:rFonts w:asciiTheme="majorBidi" w:hAnsiTheme="majorBidi" w:cstheme="majorBidi"/>
          <w:sz w:val="24"/>
          <w:szCs w:val="24"/>
          <w:lang w:val="en-US"/>
        </w:rPr>
        <w:t xml:space="preserve"> are a hot topic. The literature has shown that the moths, undoubtedly occupy the first rank, both by their frequency, highly contagious, distribution, and their roles </w:t>
      </w:r>
      <w:proofErr w:type="spellStart"/>
      <w:r w:rsidRPr="007C6A43">
        <w:rPr>
          <w:rFonts w:asciiTheme="majorBidi" w:hAnsiTheme="majorBidi" w:cstheme="majorBidi"/>
          <w:sz w:val="24"/>
          <w:szCs w:val="24"/>
          <w:lang w:val="en-US"/>
        </w:rPr>
        <w:t>zoonotic</w:t>
      </w:r>
      <w:proofErr w:type="spellEnd"/>
      <w:r w:rsidRPr="007C6A43">
        <w:rPr>
          <w:rFonts w:asciiTheme="majorBidi" w:hAnsiTheme="majorBidi" w:cstheme="majorBidi"/>
          <w:sz w:val="24"/>
          <w:szCs w:val="24"/>
          <w:lang w:val="en-US"/>
        </w:rPr>
        <w:t xml:space="preserve">. After performing a retrospective survey of ringworm in the ENSV, the prevalence found in relation to the number of cases was rather low. The results of the prospective study for their part, are not really conclusive to say that the rate </w:t>
      </w:r>
      <w:proofErr w:type="spellStart"/>
      <w:r w:rsidRPr="007C6A43">
        <w:rPr>
          <w:rFonts w:asciiTheme="majorBidi" w:hAnsiTheme="majorBidi" w:cstheme="majorBidi"/>
          <w:sz w:val="24"/>
          <w:szCs w:val="24"/>
          <w:lang w:val="en-US"/>
        </w:rPr>
        <w:t>ofringworm</w:t>
      </w:r>
      <w:proofErr w:type="spellEnd"/>
      <w:r w:rsidRPr="007C6A43">
        <w:rPr>
          <w:rFonts w:asciiTheme="majorBidi" w:hAnsiTheme="majorBidi" w:cstheme="majorBidi"/>
          <w:sz w:val="24"/>
          <w:szCs w:val="24"/>
          <w:lang w:val="en-US"/>
        </w:rPr>
        <w:t xml:space="preserve"> in cats is declining because only 5 among 225 </w:t>
      </w:r>
      <w:proofErr w:type="spellStart"/>
      <w:r w:rsidRPr="007C6A43">
        <w:rPr>
          <w:rFonts w:asciiTheme="majorBidi" w:hAnsiTheme="majorBidi" w:cstheme="majorBidi"/>
          <w:sz w:val="24"/>
          <w:szCs w:val="24"/>
          <w:lang w:val="en-US"/>
        </w:rPr>
        <w:t>caseswere</w:t>
      </w:r>
      <w:proofErr w:type="spellEnd"/>
      <w:r w:rsidRPr="007C6A43">
        <w:rPr>
          <w:rFonts w:asciiTheme="majorBidi" w:hAnsiTheme="majorBidi" w:cstheme="majorBidi"/>
          <w:sz w:val="24"/>
          <w:szCs w:val="24"/>
          <w:lang w:val="en-US"/>
        </w:rPr>
        <w:t xml:space="preserve"> clinically positive without experimental confirmation. In our prospective study, the use of Wood's light made from amore retrospective STUDY. Compared with the negative results obtained in the retrospective research, the positive results observed in our prospective study could relate to the use of Wood's light during direct examination in the clinic. The use </w:t>
      </w:r>
      <w:proofErr w:type="spellStart"/>
      <w:r w:rsidRPr="007C6A43">
        <w:rPr>
          <w:rFonts w:asciiTheme="majorBidi" w:hAnsiTheme="majorBidi" w:cstheme="majorBidi"/>
          <w:sz w:val="24"/>
          <w:szCs w:val="24"/>
          <w:lang w:val="en-US"/>
        </w:rPr>
        <w:t>ofWood's</w:t>
      </w:r>
      <w:proofErr w:type="spellEnd"/>
      <w:r w:rsidRPr="007C6A43">
        <w:rPr>
          <w:rFonts w:asciiTheme="majorBidi" w:hAnsiTheme="majorBidi" w:cstheme="majorBidi"/>
          <w:sz w:val="24"/>
          <w:szCs w:val="24"/>
          <w:lang w:val="en-US"/>
        </w:rPr>
        <w:t xml:space="preserve"> light is even more important because it allows more of the clinical diagnosis, the establishment of good conduct to </w:t>
      </w:r>
      <w:proofErr w:type="spellStart"/>
      <w:r w:rsidRPr="007C6A43">
        <w:rPr>
          <w:rFonts w:asciiTheme="majorBidi" w:hAnsiTheme="majorBidi" w:cstheme="majorBidi"/>
          <w:sz w:val="24"/>
          <w:szCs w:val="24"/>
          <w:lang w:val="en-US"/>
        </w:rPr>
        <w:t>befacing</w:t>
      </w:r>
      <w:proofErr w:type="spellEnd"/>
      <w:r w:rsidRPr="007C6A43">
        <w:rPr>
          <w:rFonts w:asciiTheme="majorBidi" w:hAnsiTheme="majorBidi" w:cstheme="majorBidi"/>
          <w:sz w:val="24"/>
          <w:szCs w:val="24"/>
          <w:lang w:val="en-US"/>
        </w:rPr>
        <w:t xml:space="preserve"> a moth, whether symptomatic or asymptomatic.</w:t>
      </w:r>
    </w:p>
    <w:sectPr w:rsidR="00014BDB" w:rsidRPr="007C6A4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596F"/>
    <w:rsid w:val="004D6EED"/>
    <w:rsid w:val="004F7541"/>
    <w:rsid w:val="005021C0"/>
    <w:rsid w:val="00504DF3"/>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C6A43"/>
    <w:rsid w:val="007F1D3E"/>
    <w:rsid w:val="007F3CFD"/>
    <w:rsid w:val="00814453"/>
    <w:rsid w:val="00826B47"/>
    <w:rsid w:val="008356D3"/>
    <w:rsid w:val="00841845"/>
    <w:rsid w:val="00846BDF"/>
    <w:rsid w:val="0084721F"/>
    <w:rsid w:val="00863BB8"/>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286</cp:revision>
  <dcterms:created xsi:type="dcterms:W3CDTF">2019-12-10T12:38:00Z</dcterms:created>
  <dcterms:modified xsi:type="dcterms:W3CDTF">2020-01-16T12:07:00Z</dcterms:modified>
</cp:coreProperties>
</file>